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018" w:rsidRDefault="00DD7018" w:rsidP="002A4D11">
      <w:pPr>
        <w:jc w:val="right"/>
        <w:rPr>
          <w:rFonts w:ascii="Calibri" w:hAnsi="Calibri"/>
          <w:sz w:val="22"/>
          <w:szCs w:val="22"/>
        </w:rPr>
      </w:pPr>
      <w:bookmarkStart w:id="0" w:name="_GoBack"/>
      <w:bookmarkEnd w:id="0"/>
    </w:p>
    <w:p w:rsidR="00627DED" w:rsidRPr="00F91B29" w:rsidRDefault="005E2A87" w:rsidP="002A4D11">
      <w:pPr>
        <w:jc w:val="right"/>
        <w:rPr>
          <w:rFonts w:ascii="Calibri" w:hAnsi="Calibri"/>
          <w:sz w:val="22"/>
          <w:szCs w:val="22"/>
        </w:rPr>
      </w:pPr>
      <w:r>
        <w:rPr>
          <w:noProof/>
          <w:lang w:eastAsia="en-IE"/>
        </w:rPr>
        <w:drawing>
          <wp:anchor distT="0" distB="0" distL="114300" distR="114300" simplePos="0" relativeHeight="251657728" behindDoc="0" locked="0" layoutInCell="1" allowOverlap="1">
            <wp:simplePos x="0" y="0"/>
            <wp:positionH relativeFrom="column">
              <wp:posOffset>-859790</wp:posOffset>
            </wp:positionH>
            <wp:positionV relativeFrom="paragraph">
              <wp:posOffset>-440055</wp:posOffset>
            </wp:positionV>
            <wp:extent cx="1562100" cy="1057275"/>
            <wp:effectExtent l="0" t="0" r="0" b="0"/>
            <wp:wrapSquare wrapText="bothSides"/>
            <wp:docPr id="3" name="Picture 3" descr="CLRG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RG logo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pic:spPr>
                </pic:pic>
              </a:graphicData>
            </a:graphic>
            <wp14:sizeRelH relativeFrom="page">
              <wp14:pctWidth>0</wp14:pctWidth>
            </wp14:sizeRelH>
            <wp14:sizeRelV relativeFrom="page">
              <wp14:pctHeight>0</wp14:pctHeight>
            </wp14:sizeRelV>
          </wp:anchor>
        </w:drawing>
      </w:r>
    </w:p>
    <w:p w:rsidR="00627DED" w:rsidRDefault="00724D39" w:rsidP="000B3823">
      <w:pPr>
        <w:jc w:val="center"/>
        <w:rPr>
          <w:rFonts w:ascii="Calibri" w:hAnsi="Calibri"/>
          <w:b/>
          <w:bCs/>
          <w:sz w:val="28"/>
          <w:szCs w:val="28"/>
        </w:rPr>
      </w:pPr>
      <w:r>
        <w:rPr>
          <w:rFonts w:ascii="Calibri" w:hAnsi="Calibri"/>
          <w:b/>
          <w:bCs/>
          <w:sz w:val="28"/>
          <w:szCs w:val="28"/>
        </w:rPr>
        <w:t>8</w:t>
      </w:r>
      <w:r w:rsidR="00C66BDE">
        <w:rPr>
          <w:rFonts w:ascii="Calibri" w:hAnsi="Calibri"/>
          <w:b/>
          <w:bCs/>
          <w:sz w:val="28"/>
          <w:szCs w:val="28"/>
        </w:rPr>
        <w:t>6</w:t>
      </w:r>
      <w:r w:rsidR="006C7A8E">
        <w:rPr>
          <w:rFonts w:ascii="Calibri" w:hAnsi="Calibri"/>
          <w:b/>
          <w:bCs/>
          <w:sz w:val="28"/>
          <w:szCs w:val="28"/>
        </w:rPr>
        <w:t>th</w:t>
      </w:r>
      <w:r w:rsidR="00647C7B">
        <w:rPr>
          <w:rFonts w:ascii="Calibri" w:hAnsi="Calibri"/>
          <w:b/>
          <w:bCs/>
          <w:sz w:val="28"/>
          <w:szCs w:val="28"/>
        </w:rPr>
        <w:t xml:space="preserve"> </w:t>
      </w:r>
      <w:r w:rsidR="00627DED" w:rsidRPr="00F91B29">
        <w:rPr>
          <w:rFonts w:ascii="Calibri" w:hAnsi="Calibri"/>
          <w:b/>
          <w:bCs/>
          <w:sz w:val="28"/>
          <w:szCs w:val="28"/>
        </w:rPr>
        <w:t>Plenary Meeting of the C</w:t>
      </w:r>
      <w:r w:rsidR="002A4D11" w:rsidRPr="00F91B29">
        <w:rPr>
          <w:rFonts w:ascii="Calibri" w:hAnsi="Calibri"/>
          <w:b/>
          <w:bCs/>
          <w:sz w:val="28"/>
          <w:szCs w:val="28"/>
        </w:rPr>
        <w:t>ompany Law Review Group</w:t>
      </w:r>
    </w:p>
    <w:p w:rsidR="002E2645" w:rsidRDefault="002E2645">
      <w:pPr>
        <w:rPr>
          <w:rFonts w:ascii="Calibri" w:hAnsi="Calibri"/>
          <w:sz w:val="22"/>
          <w:szCs w:val="22"/>
        </w:rPr>
      </w:pPr>
    </w:p>
    <w:tbl>
      <w:tblPr>
        <w:tblpPr w:leftFromText="180" w:rightFromText="180" w:vertAnchor="text" w:horzAnchor="margin" w:tblpXSpec="right" w:tblpY="-22"/>
        <w:tblW w:w="0" w:type="auto"/>
        <w:tblLook w:val="04A0" w:firstRow="1" w:lastRow="0" w:firstColumn="1" w:lastColumn="0" w:noHBand="0" w:noVBand="1"/>
      </w:tblPr>
      <w:tblGrid>
        <w:gridCol w:w="865"/>
        <w:gridCol w:w="4913"/>
      </w:tblGrid>
      <w:tr w:rsidR="002E2645" w:rsidRPr="00F91B29" w:rsidTr="002E2645">
        <w:tc>
          <w:tcPr>
            <w:tcW w:w="865" w:type="dxa"/>
            <w:shd w:val="clear" w:color="auto" w:fill="auto"/>
          </w:tcPr>
          <w:p w:rsidR="006C7A8E" w:rsidRDefault="006C7A8E" w:rsidP="002E2645">
            <w:pPr>
              <w:jc w:val="both"/>
              <w:rPr>
                <w:rFonts w:ascii="Calibri" w:hAnsi="Calibri"/>
                <w:b/>
                <w:bCs/>
                <w:sz w:val="22"/>
                <w:szCs w:val="22"/>
              </w:rPr>
            </w:pPr>
          </w:p>
          <w:p w:rsidR="002E2645" w:rsidRPr="00F91B29" w:rsidRDefault="002E2645" w:rsidP="002E2645">
            <w:pPr>
              <w:jc w:val="both"/>
              <w:rPr>
                <w:rFonts w:ascii="Calibri" w:hAnsi="Calibri"/>
                <w:sz w:val="22"/>
                <w:szCs w:val="22"/>
              </w:rPr>
            </w:pPr>
            <w:r w:rsidRPr="00F91B29">
              <w:rPr>
                <w:rFonts w:ascii="Calibri" w:hAnsi="Calibri"/>
                <w:b/>
                <w:bCs/>
                <w:sz w:val="22"/>
                <w:szCs w:val="22"/>
              </w:rPr>
              <w:t>Date:</w:t>
            </w:r>
            <w:r w:rsidRPr="00F91B29">
              <w:rPr>
                <w:rFonts w:ascii="Calibri" w:hAnsi="Calibri"/>
                <w:sz w:val="22"/>
                <w:szCs w:val="22"/>
              </w:rPr>
              <w:tab/>
            </w:r>
          </w:p>
        </w:tc>
        <w:tc>
          <w:tcPr>
            <w:tcW w:w="4913" w:type="dxa"/>
            <w:shd w:val="clear" w:color="auto" w:fill="auto"/>
          </w:tcPr>
          <w:p w:rsidR="006C7A8E" w:rsidRDefault="006C7A8E" w:rsidP="001477B0">
            <w:pPr>
              <w:jc w:val="both"/>
              <w:rPr>
                <w:rFonts w:ascii="Calibri" w:hAnsi="Calibri"/>
                <w:sz w:val="22"/>
                <w:szCs w:val="22"/>
              </w:rPr>
            </w:pPr>
          </w:p>
          <w:p w:rsidR="002E2645" w:rsidRPr="00F91B29" w:rsidRDefault="00C66BDE" w:rsidP="001477B0">
            <w:pPr>
              <w:jc w:val="both"/>
              <w:rPr>
                <w:rFonts w:ascii="Calibri" w:hAnsi="Calibri"/>
                <w:sz w:val="22"/>
                <w:szCs w:val="22"/>
              </w:rPr>
            </w:pPr>
            <w:r>
              <w:rPr>
                <w:rFonts w:ascii="Calibri" w:hAnsi="Calibri"/>
                <w:sz w:val="22"/>
                <w:szCs w:val="22"/>
              </w:rPr>
              <w:t>7</w:t>
            </w:r>
            <w:r w:rsidRPr="00C66BDE">
              <w:rPr>
                <w:rFonts w:ascii="Calibri" w:hAnsi="Calibri"/>
                <w:sz w:val="22"/>
                <w:szCs w:val="22"/>
                <w:vertAlign w:val="superscript"/>
              </w:rPr>
              <w:t>th</w:t>
            </w:r>
            <w:r>
              <w:rPr>
                <w:rFonts w:ascii="Calibri" w:hAnsi="Calibri"/>
                <w:sz w:val="22"/>
                <w:szCs w:val="22"/>
              </w:rPr>
              <w:t xml:space="preserve"> October </w:t>
            </w:r>
            <w:r w:rsidR="00222CAE">
              <w:rPr>
                <w:rFonts w:ascii="Calibri" w:hAnsi="Calibri"/>
                <w:sz w:val="22"/>
                <w:szCs w:val="22"/>
              </w:rPr>
              <w:t>2019</w:t>
            </w:r>
          </w:p>
        </w:tc>
      </w:tr>
      <w:tr w:rsidR="002E2645" w:rsidRPr="00F91B29" w:rsidTr="002E2645">
        <w:tc>
          <w:tcPr>
            <w:tcW w:w="865" w:type="dxa"/>
            <w:shd w:val="clear" w:color="auto" w:fill="auto"/>
          </w:tcPr>
          <w:p w:rsidR="002E2645" w:rsidRPr="00F91B29" w:rsidRDefault="002E2645" w:rsidP="002E2645">
            <w:pPr>
              <w:jc w:val="both"/>
              <w:rPr>
                <w:rFonts w:ascii="Calibri" w:hAnsi="Calibri"/>
                <w:sz w:val="22"/>
                <w:szCs w:val="22"/>
              </w:rPr>
            </w:pPr>
            <w:r w:rsidRPr="00F91B29">
              <w:rPr>
                <w:rFonts w:ascii="Calibri" w:hAnsi="Calibri"/>
                <w:b/>
                <w:bCs/>
                <w:sz w:val="22"/>
                <w:szCs w:val="22"/>
              </w:rPr>
              <w:t>Time:</w:t>
            </w:r>
            <w:r w:rsidRPr="00F91B29">
              <w:rPr>
                <w:rFonts w:ascii="Calibri" w:hAnsi="Calibri"/>
                <w:sz w:val="22"/>
                <w:szCs w:val="22"/>
              </w:rPr>
              <w:tab/>
            </w:r>
          </w:p>
        </w:tc>
        <w:tc>
          <w:tcPr>
            <w:tcW w:w="4913" w:type="dxa"/>
            <w:shd w:val="clear" w:color="auto" w:fill="auto"/>
          </w:tcPr>
          <w:p w:rsidR="002E2645" w:rsidRPr="00F91B29" w:rsidRDefault="006C7A8E" w:rsidP="002E2645">
            <w:pPr>
              <w:jc w:val="both"/>
              <w:rPr>
                <w:rFonts w:ascii="Calibri" w:hAnsi="Calibri"/>
                <w:sz w:val="22"/>
                <w:szCs w:val="22"/>
              </w:rPr>
            </w:pPr>
            <w:r>
              <w:rPr>
                <w:rFonts w:ascii="Calibri" w:hAnsi="Calibri"/>
                <w:sz w:val="22"/>
                <w:szCs w:val="22"/>
              </w:rPr>
              <w:t>10:0</w:t>
            </w:r>
            <w:r w:rsidR="002E2645" w:rsidRPr="00F91B29">
              <w:rPr>
                <w:rFonts w:ascii="Calibri" w:hAnsi="Calibri"/>
                <w:sz w:val="22"/>
                <w:szCs w:val="22"/>
              </w:rPr>
              <w:t>0</w:t>
            </w:r>
            <w:r w:rsidR="00A47E61">
              <w:rPr>
                <w:rFonts w:ascii="Calibri" w:hAnsi="Calibri"/>
                <w:sz w:val="22"/>
                <w:szCs w:val="22"/>
              </w:rPr>
              <w:t>am</w:t>
            </w:r>
            <w:r>
              <w:rPr>
                <w:rFonts w:ascii="Calibri" w:hAnsi="Calibri"/>
                <w:sz w:val="22"/>
                <w:szCs w:val="22"/>
              </w:rPr>
              <w:t xml:space="preserve"> – 12:0</w:t>
            </w:r>
            <w:r w:rsidR="002E2645" w:rsidRPr="00F91B29">
              <w:rPr>
                <w:rFonts w:ascii="Calibri" w:hAnsi="Calibri"/>
                <w:sz w:val="22"/>
                <w:szCs w:val="22"/>
              </w:rPr>
              <w:t>0</w:t>
            </w:r>
            <w:r>
              <w:rPr>
                <w:rFonts w:ascii="Calibri" w:hAnsi="Calibri"/>
                <w:sz w:val="22"/>
                <w:szCs w:val="22"/>
              </w:rPr>
              <w:t>p</w:t>
            </w:r>
            <w:r w:rsidR="00A47E61">
              <w:rPr>
                <w:rFonts w:ascii="Calibri" w:hAnsi="Calibri"/>
                <w:sz w:val="22"/>
                <w:szCs w:val="22"/>
              </w:rPr>
              <w:t>m</w:t>
            </w:r>
          </w:p>
        </w:tc>
      </w:tr>
      <w:tr w:rsidR="002E2645" w:rsidRPr="00F91B29" w:rsidTr="002E2645">
        <w:tc>
          <w:tcPr>
            <w:tcW w:w="865" w:type="dxa"/>
            <w:shd w:val="clear" w:color="auto" w:fill="auto"/>
          </w:tcPr>
          <w:p w:rsidR="002E2645" w:rsidRPr="00F91B29" w:rsidRDefault="002E2645" w:rsidP="002E2645">
            <w:pPr>
              <w:jc w:val="both"/>
              <w:rPr>
                <w:rFonts w:ascii="Calibri" w:hAnsi="Calibri"/>
                <w:sz w:val="22"/>
                <w:szCs w:val="22"/>
              </w:rPr>
            </w:pPr>
            <w:r w:rsidRPr="00F91B29">
              <w:rPr>
                <w:rFonts w:ascii="Calibri" w:hAnsi="Calibri"/>
                <w:b/>
                <w:bCs/>
                <w:sz w:val="22"/>
                <w:szCs w:val="22"/>
                <w:lang w:val="en-GB"/>
              </w:rPr>
              <w:t>Venue:</w:t>
            </w:r>
            <w:r w:rsidRPr="00F91B29">
              <w:rPr>
                <w:rFonts w:ascii="Calibri" w:hAnsi="Calibri"/>
                <w:sz w:val="22"/>
                <w:szCs w:val="22"/>
                <w:lang w:val="en-GB"/>
              </w:rPr>
              <w:tab/>
            </w:r>
          </w:p>
        </w:tc>
        <w:tc>
          <w:tcPr>
            <w:tcW w:w="4913" w:type="dxa"/>
            <w:shd w:val="clear" w:color="auto" w:fill="auto"/>
          </w:tcPr>
          <w:p w:rsidR="002E2645" w:rsidRDefault="00222CAE" w:rsidP="002E2645">
            <w:pPr>
              <w:jc w:val="both"/>
              <w:rPr>
                <w:rFonts w:ascii="Calibri" w:hAnsi="Calibri"/>
                <w:sz w:val="22"/>
                <w:szCs w:val="22"/>
              </w:rPr>
            </w:pPr>
            <w:proofErr w:type="spellStart"/>
            <w:r>
              <w:rPr>
                <w:rFonts w:ascii="Calibri" w:hAnsi="Calibri"/>
                <w:sz w:val="22"/>
                <w:szCs w:val="22"/>
              </w:rPr>
              <w:t>Buswells</w:t>
            </w:r>
            <w:proofErr w:type="spellEnd"/>
            <w:r>
              <w:rPr>
                <w:rFonts w:ascii="Calibri" w:hAnsi="Calibri"/>
                <w:sz w:val="22"/>
                <w:szCs w:val="22"/>
              </w:rPr>
              <w:t xml:space="preserve"> Hotel</w:t>
            </w:r>
            <w:r w:rsidR="002E2645" w:rsidRPr="00F91B29">
              <w:rPr>
                <w:rFonts w:ascii="Calibri" w:hAnsi="Calibri"/>
                <w:sz w:val="22"/>
                <w:szCs w:val="22"/>
              </w:rPr>
              <w:t>, Kildare Street, Dublin 2.</w:t>
            </w:r>
          </w:p>
          <w:p w:rsidR="006C7A8E" w:rsidRDefault="006C7A8E" w:rsidP="002E2645">
            <w:pPr>
              <w:jc w:val="both"/>
              <w:rPr>
                <w:rFonts w:ascii="Calibri" w:hAnsi="Calibri"/>
                <w:sz w:val="22"/>
                <w:szCs w:val="22"/>
              </w:rPr>
            </w:pPr>
          </w:p>
          <w:p w:rsidR="006C7A8E" w:rsidRDefault="006C7A8E" w:rsidP="002E2645">
            <w:pPr>
              <w:jc w:val="both"/>
              <w:rPr>
                <w:rFonts w:ascii="Calibri" w:hAnsi="Calibri"/>
                <w:sz w:val="22"/>
                <w:szCs w:val="22"/>
              </w:rPr>
            </w:pPr>
          </w:p>
          <w:p w:rsidR="006C7A8E" w:rsidRDefault="006C7A8E" w:rsidP="002E2645">
            <w:pPr>
              <w:jc w:val="both"/>
              <w:rPr>
                <w:rFonts w:ascii="Calibri" w:hAnsi="Calibri"/>
                <w:sz w:val="22"/>
                <w:szCs w:val="22"/>
              </w:rPr>
            </w:pPr>
          </w:p>
          <w:p w:rsidR="006C7A8E" w:rsidRPr="00F91B29" w:rsidRDefault="006C7A8E" w:rsidP="002E2645">
            <w:pPr>
              <w:jc w:val="both"/>
              <w:rPr>
                <w:rFonts w:ascii="Calibri" w:hAnsi="Calibri"/>
                <w:sz w:val="22"/>
                <w:szCs w:val="22"/>
              </w:rPr>
            </w:pPr>
          </w:p>
        </w:tc>
      </w:tr>
    </w:tbl>
    <w:p w:rsidR="002E2645" w:rsidRDefault="002E2645">
      <w:pPr>
        <w:rPr>
          <w:rFonts w:ascii="Calibri" w:hAnsi="Calibri"/>
          <w:sz w:val="22"/>
          <w:szCs w:val="22"/>
        </w:rPr>
      </w:pPr>
    </w:p>
    <w:p w:rsidR="002E2645" w:rsidRDefault="002E2645">
      <w:pPr>
        <w:rPr>
          <w:rFonts w:ascii="Calibri" w:hAnsi="Calibri"/>
          <w:sz w:val="22"/>
          <w:szCs w:val="22"/>
        </w:rPr>
      </w:pPr>
    </w:p>
    <w:p w:rsidR="002E2645" w:rsidRDefault="002E2645">
      <w:pPr>
        <w:rPr>
          <w:rFonts w:ascii="Calibri" w:hAnsi="Calibri"/>
          <w:sz w:val="22"/>
          <w:szCs w:val="22"/>
        </w:rPr>
      </w:pPr>
    </w:p>
    <w:p w:rsidR="002E2645" w:rsidRDefault="002E2645">
      <w:pPr>
        <w:rPr>
          <w:rFonts w:ascii="Calibri" w:hAnsi="Calibri"/>
          <w:sz w:val="22"/>
          <w:szCs w:val="22"/>
        </w:rPr>
      </w:pPr>
    </w:p>
    <w:p w:rsidR="002E2645" w:rsidRDefault="002E2645">
      <w:pPr>
        <w:rPr>
          <w:rFonts w:ascii="Calibri" w:hAnsi="Calibri"/>
          <w:sz w:val="22"/>
          <w:szCs w:val="22"/>
        </w:rPr>
      </w:pPr>
    </w:p>
    <w:p w:rsidR="002E2645" w:rsidRDefault="002E2645">
      <w:pPr>
        <w:rPr>
          <w:rFonts w:ascii="Calibri" w:hAnsi="Calibri"/>
          <w:sz w:val="22"/>
          <w:szCs w:val="22"/>
        </w:rPr>
      </w:pPr>
    </w:p>
    <w:p w:rsidR="00292953" w:rsidRDefault="00292953" w:rsidP="00A619A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tbl>
      <w:tblPr>
        <w:tblW w:w="0" w:type="auto"/>
        <w:tblLook w:val="04A0" w:firstRow="1" w:lastRow="0" w:firstColumn="1" w:lastColumn="0" w:noHBand="0" w:noVBand="1"/>
      </w:tblPr>
      <w:tblGrid>
        <w:gridCol w:w="2214"/>
        <w:gridCol w:w="6092"/>
      </w:tblGrid>
      <w:tr w:rsidR="00035588" w:rsidRPr="005C5D1E" w:rsidTr="00313B06">
        <w:tc>
          <w:tcPr>
            <w:tcW w:w="2214" w:type="dxa"/>
            <w:shd w:val="clear" w:color="auto" w:fill="auto"/>
          </w:tcPr>
          <w:p w:rsidR="00035588" w:rsidRPr="005C5D1E" w:rsidRDefault="00277DB1" w:rsidP="001012E9">
            <w:pPr>
              <w:rPr>
                <w:rFonts w:ascii="Calibri" w:eastAsia="Calibri" w:hAnsi="Calibri"/>
                <w:b/>
                <w:sz w:val="22"/>
                <w:szCs w:val="22"/>
              </w:rPr>
            </w:pPr>
            <w:r>
              <w:rPr>
                <w:rFonts w:ascii="Calibri" w:eastAsia="Calibri" w:hAnsi="Calibri"/>
                <w:b/>
                <w:sz w:val="22"/>
                <w:szCs w:val="22"/>
              </w:rPr>
              <w:t>Present</w:t>
            </w:r>
            <w:r w:rsidR="00035588" w:rsidRPr="005C5D1E">
              <w:rPr>
                <w:rFonts w:ascii="Calibri" w:eastAsia="Calibri" w:hAnsi="Calibri"/>
                <w:b/>
                <w:sz w:val="22"/>
                <w:szCs w:val="22"/>
              </w:rPr>
              <w:t>:</w:t>
            </w:r>
          </w:p>
          <w:p w:rsidR="00035588" w:rsidRDefault="00035588" w:rsidP="001012E9">
            <w:pPr>
              <w:rPr>
                <w:rFonts w:ascii="Calibri" w:eastAsia="Calibri" w:hAnsi="Calibri"/>
                <w:b/>
                <w:sz w:val="22"/>
                <w:szCs w:val="22"/>
              </w:rPr>
            </w:pPr>
          </w:p>
          <w:p w:rsidR="00277DB1" w:rsidRDefault="00277DB1" w:rsidP="001012E9">
            <w:pPr>
              <w:rPr>
                <w:rFonts w:ascii="Calibri" w:eastAsia="Calibri" w:hAnsi="Calibri"/>
                <w:b/>
                <w:sz w:val="22"/>
                <w:szCs w:val="22"/>
              </w:rPr>
            </w:pPr>
          </w:p>
          <w:p w:rsidR="00277DB1" w:rsidRDefault="00277DB1" w:rsidP="001012E9">
            <w:pPr>
              <w:rPr>
                <w:rFonts w:ascii="Calibri" w:eastAsia="Calibri" w:hAnsi="Calibri"/>
                <w:b/>
                <w:sz w:val="22"/>
                <w:szCs w:val="22"/>
              </w:rPr>
            </w:pPr>
          </w:p>
          <w:p w:rsidR="00277DB1" w:rsidRDefault="00277DB1" w:rsidP="001012E9">
            <w:pPr>
              <w:rPr>
                <w:rFonts w:ascii="Calibri" w:eastAsia="Calibri" w:hAnsi="Calibri"/>
                <w:b/>
                <w:sz w:val="22"/>
                <w:szCs w:val="22"/>
              </w:rPr>
            </w:pPr>
          </w:p>
          <w:p w:rsidR="00277DB1" w:rsidRDefault="00277DB1" w:rsidP="001012E9">
            <w:pPr>
              <w:rPr>
                <w:rFonts w:ascii="Calibri" w:eastAsia="Calibri" w:hAnsi="Calibri"/>
                <w:b/>
                <w:sz w:val="22"/>
                <w:szCs w:val="22"/>
              </w:rPr>
            </w:pPr>
          </w:p>
          <w:p w:rsidR="00277DB1" w:rsidRDefault="00277DB1" w:rsidP="001012E9">
            <w:pPr>
              <w:rPr>
                <w:rFonts w:ascii="Calibri" w:eastAsia="Calibri" w:hAnsi="Calibri"/>
                <w:b/>
                <w:sz w:val="22"/>
                <w:szCs w:val="22"/>
              </w:rPr>
            </w:pPr>
          </w:p>
          <w:p w:rsidR="00F34124" w:rsidRDefault="00F34124" w:rsidP="001012E9">
            <w:pPr>
              <w:rPr>
                <w:rFonts w:ascii="Calibri" w:eastAsia="Calibri" w:hAnsi="Calibri"/>
                <w:b/>
                <w:sz w:val="22"/>
                <w:szCs w:val="22"/>
              </w:rPr>
            </w:pPr>
          </w:p>
          <w:p w:rsidR="00277DB1" w:rsidRPr="005C5D1E" w:rsidRDefault="00277DB1" w:rsidP="001012E9">
            <w:pPr>
              <w:rPr>
                <w:rFonts w:ascii="Calibri" w:eastAsia="Calibri" w:hAnsi="Calibri"/>
                <w:b/>
                <w:sz w:val="22"/>
                <w:szCs w:val="22"/>
              </w:rPr>
            </w:pPr>
            <w:r>
              <w:rPr>
                <w:rFonts w:ascii="Calibri" w:eastAsia="Calibri" w:hAnsi="Calibri"/>
                <w:b/>
                <w:sz w:val="22"/>
                <w:szCs w:val="22"/>
              </w:rPr>
              <w:t>In attendance:</w:t>
            </w:r>
          </w:p>
        </w:tc>
        <w:tc>
          <w:tcPr>
            <w:tcW w:w="6092" w:type="dxa"/>
            <w:shd w:val="clear" w:color="auto" w:fill="auto"/>
          </w:tcPr>
          <w:p w:rsidR="0048342D" w:rsidRDefault="00277DB1" w:rsidP="001012E9">
            <w:pPr>
              <w:rPr>
                <w:rFonts w:ascii="Calibri" w:hAnsi="Calibri"/>
                <w:sz w:val="22"/>
                <w:szCs w:val="22"/>
              </w:rPr>
            </w:pPr>
            <w:r>
              <w:rPr>
                <w:rFonts w:ascii="Calibri" w:hAnsi="Calibri"/>
                <w:sz w:val="22"/>
                <w:szCs w:val="22"/>
              </w:rPr>
              <w:t>Paul Egan (Chairperson) Michael Buckley (on behalf of Eadaoin Rock), Barry Cahir, Barry Conway, Máire Cunningham, Helen Curley, Richard Curran, Marie Daly, Jeanette Doonan, Ian Drennan, Bernice Evoy, Rosemary Hickey, Gillian Leeson, John Loughlin, Irene Lynch-Fannon, Ralph MacDarby, Neil McDonnell, David McFadden, Salvador Nash, Gillian O’Shaughnessy, Maureen O’Sullivan, Breda Power, Kevin Prendergast.</w:t>
            </w:r>
          </w:p>
          <w:p w:rsidR="00277DB1" w:rsidRDefault="00277DB1" w:rsidP="001012E9">
            <w:pPr>
              <w:rPr>
                <w:rFonts w:ascii="Calibri" w:hAnsi="Calibri"/>
                <w:sz w:val="22"/>
                <w:szCs w:val="22"/>
              </w:rPr>
            </w:pPr>
          </w:p>
          <w:p w:rsidR="00277DB1" w:rsidRDefault="00277DB1" w:rsidP="001012E9">
            <w:pPr>
              <w:rPr>
                <w:rFonts w:ascii="Calibri" w:hAnsi="Calibri"/>
                <w:sz w:val="22"/>
                <w:szCs w:val="22"/>
              </w:rPr>
            </w:pPr>
            <w:r>
              <w:rPr>
                <w:rFonts w:ascii="Calibri" w:hAnsi="Calibri"/>
                <w:sz w:val="22"/>
                <w:szCs w:val="22"/>
              </w:rPr>
              <w:t>Tara Keane (Secretariat), Emma Geraghty (DBEI) and Sarah Flood (DBEI).</w:t>
            </w:r>
          </w:p>
          <w:p w:rsidR="00035588" w:rsidRDefault="00035588" w:rsidP="001012E9">
            <w:pPr>
              <w:rPr>
                <w:rFonts w:ascii="Calibri" w:hAnsi="Calibri"/>
                <w:sz w:val="22"/>
                <w:szCs w:val="22"/>
              </w:rPr>
            </w:pPr>
          </w:p>
          <w:p w:rsidR="00035588" w:rsidRDefault="00035588" w:rsidP="00222CAE">
            <w:pPr>
              <w:rPr>
                <w:rFonts w:ascii="Calibri" w:hAnsi="Calibri"/>
                <w:sz w:val="22"/>
                <w:szCs w:val="22"/>
              </w:rPr>
            </w:pPr>
          </w:p>
          <w:p w:rsidR="00222CAE" w:rsidRPr="00043916" w:rsidRDefault="00222CAE" w:rsidP="00222CAE">
            <w:pPr>
              <w:rPr>
                <w:rFonts w:ascii="Calibri" w:hAnsi="Calibri"/>
                <w:sz w:val="22"/>
                <w:szCs w:val="22"/>
              </w:rPr>
            </w:pPr>
          </w:p>
        </w:tc>
      </w:tr>
      <w:tr w:rsidR="00035588" w:rsidRPr="00606D82" w:rsidTr="006C7A8E">
        <w:trPr>
          <w:trHeight w:val="1098"/>
        </w:trPr>
        <w:tc>
          <w:tcPr>
            <w:tcW w:w="2214" w:type="dxa"/>
            <w:shd w:val="clear" w:color="auto" w:fill="auto"/>
          </w:tcPr>
          <w:p w:rsidR="00035588" w:rsidRPr="00606D82" w:rsidRDefault="00277DB1" w:rsidP="001012E9">
            <w:pPr>
              <w:rPr>
                <w:rFonts w:ascii="Calibri" w:eastAsia="Calibri" w:hAnsi="Calibri"/>
                <w:b/>
                <w:sz w:val="22"/>
                <w:szCs w:val="22"/>
              </w:rPr>
            </w:pPr>
            <w:r>
              <w:rPr>
                <w:rFonts w:ascii="Calibri" w:eastAsia="Calibri" w:hAnsi="Calibri"/>
                <w:b/>
                <w:sz w:val="22"/>
                <w:szCs w:val="22"/>
              </w:rPr>
              <w:t>Apologies:</w:t>
            </w:r>
          </w:p>
        </w:tc>
        <w:tc>
          <w:tcPr>
            <w:tcW w:w="6092" w:type="dxa"/>
            <w:shd w:val="clear" w:color="auto" w:fill="auto"/>
          </w:tcPr>
          <w:p w:rsidR="00035588" w:rsidRPr="00043916" w:rsidRDefault="00F34124" w:rsidP="001012E9">
            <w:pPr>
              <w:spacing w:line="276" w:lineRule="auto"/>
              <w:rPr>
                <w:rFonts w:ascii="Calibri" w:eastAsia="Calibri" w:hAnsi="Calibri"/>
                <w:sz w:val="22"/>
                <w:szCs w:val="22"/>
              </w:rPr>
            </w:pPr>
            <w:r>
              <w:rPr>
                <w:rFonts w:ascii="Calibri" w:eastAsia="Calibri" w:hAnsi="Calibri"/>
                <w:sz w:val="22"/>
                <w:szCs w:val="22"/>
              </w:rPr>
              <w:t>Emma Doherty, Michael Halpenny, Tanya Holly, Shelley Horan, Vincent Madigan, Kathryn Maybury, Eadaoin Rock.</w:t>
            </w:r>
          </w:p>
        </w:tc>
      </w:tr>
    </w:tbl>
    <w:p w:rsidR="00DD7018" w:rsidRDefault="00DD7018" w:rsidP="00A619A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F34124" w:rsidRDefault="00F34124" w:rsidP="00A619A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F34124" w:rsidRDefault="00F34124" w:rsidP="00A619A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F34124" w:rsidRDefault="00F34124" w:rsidP="00A619A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F34124" w:rsidRDefault="00F34124" w:rsidP="00A619A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C77762" w:rsidRDefault="00C77762" w:rsidP="00A619A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735A77" w:rsidRDefault="00735A77" w:rsidP="00735A77">
      <w:pPr>
        <w:rPr>
          <w:rFonts w:ascii="Calibri" w:hAnsi="Calibri"/>
          <w:b/>
          <w:bCs/>
          <w:sz w:val="22"/>
          <w:szCs w:val="22"/>
        </w:rPr>
      </w:pPr>
    </w:p>
    <w:p w:rsidR="00735A77" w:rsidRDefault="00735A77" w:rsidP="00735A77">
      <w:pPr>
        <w:rPr>
          <w:rFonts w:ascii="Calibri" w:hAnsi="Calibri"/>
          <w:b/>
          <w:bCs/>
          <w:sz w:val="22"/>
          <w:szCs w:val="22"/>
        </w:rPr>
      </w:pPr>
    </w:p>
    <w:p w:rsidR="00735A77" w:rsidRDefault="00735A77" w:rsidP="00735A77">
      <w:pPr>
        <w:rPr>
          <w:rFonts w:ascii="Calibri" w:hAnsi="Calibri"/>
          <w:b/>
          <w:bCs/>
          <w:sz w:val="22"/>
          <w:szCs w:val="22"/>
        </w:rPr>
      </w:pPr>
    </w:p>
    <w:p w:rsidR="00735A77" w:rsidRDefault="00735A77" w:rsidP="00735A77">
      <w:pPr>
        <w:rPr>
          <w:rFonts w:ascii="Calibri" w:hAnsi="Calibri"/>
          <w:b/>
          <w:bCs/>
          <w:sz w:val="22"/>
          <w:szCs w:val="22"/>
        </w:rPr>
      </w:pPr>
    </w:p>
    <w:p w:rsidR="00735A77" w:rsidRDefault="00735A77" w:rsidP="00735A77">
      <w:pPr>
        <w:rPr>
          <w:rFonts w:ascii="Calibri" w:hAnsi="Calibri"/>
          <w:b/>
          <w:bCs/>
          <w:sz w:val="22"/>
          <w:szCs w:val="22"/>
        </w:rPr>
      </w:pPr>
    </w:p>
    <w:p w:rsidR="003D0042" w:rsidRDefault="003D0042" w:rsidP="00735A77">
      <w:pPr>
        <w:rPr>
          <w:rFonts w:ascii="Calibri" w:hAnsi="Calibri"/>
          <w:b/>
          <w:bCs/>
          <w:sz w:val="22"/>
          <w:szCs w:val="22"/>
        </w:rPr>
      </w:pPr>
    </w:p>
    <w:p w:rsidR="003D0042" w:rsidRDefault="003D0042" w:rsidP="00735A77">
      <w:pPr>
        <w:rPr>
          <w:rFonts w:ascii="Calibri" w:hAnsi="Calibri"/>
          <w:b/>
          <w:bCs/>
          <w:sz w:val="22"/>
          <w:szCs w:val="22"/>
        </w:rPr>
      </w:pPr>
    </w:p>
    <w:p w:rsidR="00C66BDE" w:rsidRDefault="00C66BDE" w:rsidP="00735A77">
      <w:pPr>
        <w:rPr>
          <w:rFonts w:ascii="Calibri" w:hAnsi="Calibri"/>
          <w:b/>
          <w:bCs/>
          <w:sz w:val="22"/>
          <w:szCs w:val="22"/>
        </w:rPr>
      </w:pPr>
    </w:p>
    <w:p w:rsidR="00C66BDE" w:rsidRDefault="00C66BDE" w:rsidP="00735A77">
      <w:pPr>
        <w:rPr>
          <w:rFonts w:ascii="Calibri" w:hAnsi="Calibri"/>
          <w:b/>
          <w:bCs/>
          <w:sz w:val="22"/>
          <w:szCs w:val="22"/>
        </w:rPr>
      </w:pPr>
    </w:p>
    <w:p w:rsidR="00C66BDE" w:rsidRDefault="00C66BDE" w:rsidP="00735A77">
      <w:pPr>
        <w:rPr>
          <w:rFonts w:ascii="Calibri" w:hAnsi="Calibri"/>
          <w:b/>
          <w:bCs/>
          <w:sz w:val="22"/>
          <w:szCs w:val="22"/>
        </w:rPr>
      </w:pPr>
    </w:p>
    <w:p w:rsidR="00735A77" w:rsidRDefault="00735A77" w:rsidP="00735A77">
      <w:pPr>
        <w:rPr>
          <w:rFonts w:ascii="Calibri" w:hAnsi="Calibri"/>
          <w:b/>
          <w:bCs/>
          <w:sz w:val="22"/>
          <w:szCs w:val="22"/>
        </w:rPr>
      </w:pPr>
    </w:p>
    <w:p w:rsidR="00735A77" w:rsidRDefault="00735A77" w:rsidP="00735A77">
      <w:pPr>
        <w:rPr>
          <w:rFonts w:ascii="Calibri" w:hAnsi="Calibri"/>
          <w:b/>
          <w:bCs/>
          <w:sz w:val="22"/>
          <w:szCs w:val="22"/>
        </w:rPr>
      </w:pPr>
    </w:p>
    <w:p w:rsidR="00735A77" w:rsidRDefault="00735A77" w:rsidP="00735A77">
      <w:pPr>
        <w:rPr>
          <w:rFonts w:ascii="Calibri" w:hAnsi="Calibri"/>
          <w:b/>
          <w:bCs/>
          <w:sz w:val="22"/>
          <w:szCs w:val="22"/>
        </w:rPr>
      </w:pPr>
    </w:p>
    <w:p w:rsidR="00A518B0" w:rsidRDefault="002A4D11" w:rsidP="00735A77">
      <w:pPr>
        <w:rPr>
          <w:rFonts w:ascii="Calibri" w:hAnsi="Calibri"/>
          <w:b/>
          <w:bCs/>
          <w:sz w:val="22"/>
          <w:szCs w:val="22"/>
        </w:rPr>
      </w:pPr>
      <w:r>
        <w:rPr>
          <w:rFonts w:ascii="Calibri" w:hAnsi="Calibri"/>
          <w:b/>
          <w:bCs/>
          <w:sz w:val="22"/>
          <w:szCs w:val="22"/>
        </w:rPr>
        <w:lastRenderedPageBreak/>
        <w:t xml:space="preserve">Agenda </w:t>
      </w:r>
    </w:p>
    <w:p w:rsidR="000B67E7" w:rsidRDefault="000B67E7" w:rsidP="00735A77">
      <w:pPr>
        <w:rPr>
          <w:rFonts w:ascii="Calibri" w:hAnsi="Calibri"/>
          <w:b/>
          <w:bCs/>
          <w:sz w:val="22"/>
          <w:szCs w:val="22"/>
        </w:rPr>
      </w:pPr>
    </w:p>
    <w:p w:rsidR="006A4411" w:rsidRDefault="006A4411" w:rsidP="006C7A8E">
      <w:pPr>
        <w:pStyle w:val="BodyTextIndent2"/>
        <w:pBdr>
          <w:top w:val="none" w:sz="0" w:space="0" w:color="auto"/>
          <w:left w:val="none" w:sz="0" w:space="0" w:color="auto"/>
          <w:bottom w:val="none" w:sz="0" w:space="0" w:color="auto"/>
          <w:right w:val="none" w:sz="0" w:space="0" w:color="auto"/>
        </w:pBdr>
        <w:spacing w:line="276" w:lineRule="auto"/>
        <w:ind w:left="0" w:firstLine="0"/>
        <w:jc w:val="both"/>
        <w:rPr>
          <w:rFonts w:ascii="Calibri" w:hAnsi="Calibri"/>
          <w:b/>
          <w:bCs/>
          <w:sz w:val="22"/>
          <w:szCs w:val="22"/>
        </w:rPr>
      </w:pPr>
    </w:p>
    <w:p w:rsidR="006A4411" w:rsidRDefault="006A4411" w:rsidP="006A4411">
      <w:pPr>
        <w:pStyle w:val="BodyTextIndent2"/>
        <w:numPr>
          <w:ilvl w:val="0"/>
          <w:numId w:val="2"/>
        </w:numPr>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r>
        <w:rPr>
          <w:rFonts w:ascii="Calibri" w:hAnsi="Calibri"/>
          <w:b/>
          <w:bCs/>
          <w:sz w:val="22"/>
          <w:szCs w:val="22"/>
        </w:rPr>
        <w:t>Minutes &amp; Matters arising</w:t>
      </w:r>
    </w:p>
    <w:p w:rsidR="00F34124" w:rsidRDefault="00F34124" w:rsidP="00F3412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p>
    <w:p w:rsidR="00F34124" w:rsidRDefault="00F34124" w:rsidP="00F34124">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r>
        <w:rPr>
          <w:rFonts w:ascii="Calibri" w:hAnsi="Calibri"/>
          <w:b/>
          <w:bCs/>
          <w:sz w:val="22"/>
          <w:szCs w:val="22"/>
        </w:rPr>
        <w:t>Minutes:</w:t>
      </w:r>
    </w:p>
    <w:p w:rsidR="00990CBF" w:rsidRDefault="002405F1" w:rsidP="00F34124">
      <w:pPr>
        <w:pStyle w:val="BodyTextIndent2"/>
        <w:pBdr>
          <w:top w:val="none" w:sz="0" w:space="0" w:color="auto"/>
          <w:left w:val="none" w:sz="0" w:space="0" w:color="auto"/>
          <w:bottom w:val="none" w:sz="0" w:space="0" w:color="auto"/>
          <w:right w:val="none" w:sz="0" w:space="0" w:color="auto"/>
        </w:pBdr>
        <w:spacing w:line="276" w:lineRule="auto"/>
        <w:ind w:left="0" w:firstLine="0"/>
        <w:jc w:val="both"/>
        <w:rPr>
          <w:rFonts w:ascii="Calibri" w:hAnsi="Calibri"/>
          <w:bCs/>
          <w:sz w:val="22"/>
          <w:szCs w:val="22"/>
        </w:rPr>
      </w:pPr>
      <w:r>
        <w:rPr>
          <w:rFonts w:ascii="Calibri" w:hAnsi="Calibri"/>
          <w:bCs/>
          <w:sz w:val="22"/>
          <w:szCs w:val="22"/>
        </w:rPr>
        <w:t xml:space="preserve">The </w:t>
      </w:r>
      <w:r w:rsidR="003D0042">
        <w:rPr>
          <w:rFonts w:ascii="Calibri" w:hAnsi="Calibri"/>
          <w:bCs/>
          <w:sz w:val="22"/>
          <w:szCs w:val="22"/>
        </w:rPr>
        <w:t>minutes of the 8</w:t>
      </w:r>
      <w:r w:rsidR="00C66BDE">
        <w:rPr>
          <w:rFonts w:ascii="Calibri" w:hAnsi="Calibri"/>
          <w:bCs/>
          <w:sz w:val="22"/>
          <w:szCs w:val="22"/>
        </w:rPr>
        <w:t>5</w:t>
      </w:r>
      <w:r w:rsidR="003D0042">
        <w:rPr>
          <w:rFonts w:ascii="Calibri" w:hAnsi="Calibri"/>
          <w:bCs/>
          <w:sz w:val="22"/>
          <w:szCs w:val="22"/>
          <w:vertAlign w:val="superscript"/>
        </w:rPr>
        <w:t>th</w:t>
      </w:r>
      <w:r w:rsidR="003D0042">
        <w:rPr>
          <w:rFonts w:ascii="Calibri" w:hAnsi="Calibri"/>
          <w:bCs/>
          <w:sz w:val="22"/>
          <w:szCs w:val="22"/>
        </w:rPr>
        <w:t xml:space="preserve"> plenary meeting of </w:t>
      </w:r>
      <w:r w:rsidR="006063B5">
        <w:rPr>
          <w:rFonts w:ascii="Calibri" w:hAnsi="Calibri"/>
          <w:bCs/>
          <w:sz w:val="22"/>
          <w:szCs w:val="22"/>
        </w:rPr>
        <w:t>13</w:t>
      </w:r>
      <w:r w:rsidR="006063B5" w:rsidRPr="006063B5">
        <w:rPr>
          <w:rFonts w:ascii="Calibri" w:hAnsi="Calibri"/>
          <w:bCs/>
          <w:sz w:val="22"/>
          <w:szCs w:val="22"/>
          <w:vertAlign w:val="superscript"/>
        </w:rPr>
        <w:t>th</w:t>
      </w:r>
      <w:r w:rsidR="003D0042">
        <w:rPr>
          <w:rFonts w:ascii="Calibri" w:hAnsi="Calibri"/>
          <w:bCs/>
          <w:sz w:val="22"/>
          <w:szCs w:val="22"/>
        </w:rPr>
        <w:t xml:space="preserve"> </w:t>
      </w:r>
      <w:r w:rsidR="006063B5">
        <w:rPr>
          <w:rFonts w:ascii="Calibri" w:hAnsi="Calibri"/>
          <w:bCs/>
          <w:sz w:val="22"/>
          <w:szCs w:val="22"/>
        </w:rPr>
        <w:t>May 2019</w:t>
      </w:r>
      <w:r>
        <w:rPr>
          <w:rFonts w:ascii="Calibri" w:hAnsi="Calibri"/>
          <w:bCs/>
          <w:sz w:val="22"/>
          <w:szCs w:val="22"/>
        </w:rPr>
        <w:t xml:space="preserve"> </w:t>
      </w:r>
      <w:proofErr w:type="gramStart"/>
      <w:r>
        <w:rPr>
          <w:rFonts w:ascii="Calibri" w:hAnsi="Calibri"/>
          <w:bCs/>
          <w:sz w:val="22"/>
          <w:szCs w:val="22"/>
        </w:rPr>
        <w:t>were</w:t>
      </w:r>
      <w:proofErr w:type="gramEnd"/>
      <w:r>
        <w:rPr>
          <w:rFonts w:ascii="Calibri" w:hAnsi="Calibri"/>
          <w:bCs/>
          <w:sz w:val="22"/>
          <w:szCs w:val="22"/>
        </w:rPr>
        <w:t xml:space="preserve"> adopted.</w:t>
      </w:r>
    </w:p>
    <w:p w:rsidR="00F34124" w:rsidRDefault="00F34124" w:rsidP="0033406D">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Cs/>
          <w:sz w:val="22"/>
          <w:szCs w:val="22"/>
        </w:rPr>
      </w:pPr>
    </w:p>
    <w:p w:rsidR="00F34124" w:rsidRPr="00F34124" w:rsidRDefault="00F34124" w:rsidP="0033406D">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
          <w:bCs/>
          <w:sz w:val="22"/>
          <w:szCs w:val="22"/>
        </w:rPr>
      </w:pPr>
      <w:r w:rsidRPr="00F34124">
        <w:rPr>
          <w:rFonts w:ascii="Calibri" w:hAnsi="Calibri"/>
          <w:b/>
          <w:bCs/>
          <w:sz w:val="22"/>
          <w:szCs w:val="22"/>
        </w:rPr>
        <w:t>Matters arising:</w:t>
      </w:r>
    </w:p>
    <w:p w:rsidR="00F34124" w:rsidRDefault="00F34124" w:rsidP="0033406D">
      <w:pPr>
        <w:pStyle w:val="BodyTextIndent2"/>
        <w:pBdr>
          <w:top w:val="none" w:sz="0" w:space="0" w:color="auto"/>
          <w:left w:val="none" w:sz="0" w:space="0" w:color="auto"/>
          <w:bottom w:val="none" w:sz="0" w:space="0" w:color="auto"/>
          <w:right w:val="none" w:sz="0" w:space="0" w:color="auto"/>
        </w:pBdr>
        <w:spacing w:line="276" w:lineRule="auto"/>
        <w:jc w:val="both"/>
        <w:rPr>
          <w:rFonts w:ascii="Calibri" w:hAnsi="Calibri"/>
          <w:bCs/>
          <w:sz w:val="22"/>
          <w:szCs w:val="22"/>
        </w:rPr>
      </w:pPr>
      <w:r>
        <w:rPr>
          <w:rFonts w:ascii="Calibri" w:hAnsi="Calibri"/>
          <w:bCs/>
          <w:sz w:val="22"/>
          <w:szCs w:val="22"/>
        </w:rPr>
        <w:t>There were no matters arising from the minutes.</w:t>
      </w:r>
    </w:p>
    <w:p w:rsidR="00554654" w:rsidRDefault="00554654" w:rsidP="00542638">
      <w:pPr>
        <w:spacing w:line="276" w:lineRule="auto"/>
        <w:rPr>
          <w:rFonts w:ascii="Calibri" w:hAnsi="Calibri"/>
          <w:sz w:val="22"/>
          <w:szCs w:val="22"/>
        </w:rPr>
      </w:pPr>
    </w:p>
    <w:p w:rsidR="00F34124" w:rsidRDefault="00F34124" w:rsidP="00542638">
      <w:pPr>
        <w:spacing w:line="276" w:lineRule="auto"/>
        <w:rPr>
          <w:rFonts w:ascii="Calibri" w:hAnsi="Calibri"/>
          <w:sz w:val="22"/>
          <w:szCs w:val="22"/>
        </w:rPr>
      </w:pPr>
    </w:p>
    <w:p w:rsidR="00554654" w:rsidRPr="00554654" w:rsidRDefault="006063B5" w:rsidP="00554654">
      <w:pPr>
        <w:pStyle w:val="ListParagraph"/>
        <w:numPr>
          <w:ilvl w:val="0"/>
          <w:numId w:val="2"/>
        </w:numPr>
        <w:rPr>
          <w:b/>
        </w:rPr>
      </w:pPr>
      <w:r>
        <w:rPr>
          <w:b/>
        </w:rPr>
        <w:t>Corporate Governance Committee update</w:t>
      </w:r>
    </w:p>
    <w:p w:rsidR="0096711E" w:rsidRDefault="0096711E" w:rsidP="0096711E">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AF0134" w:rsidRPr="00AF0134" w:rsidRDefault="00AF0134" w:rsidP="0096711E">
      <w:pPr>
        <w:pStyle w:val="BodyTextIndent2"/>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AF0134">
        <w:rPr>
          <w:rFonts w:ascii="Calibri" w:hAnsi="Calibri"/>
          <w:b/>
          <w:sz w:val="22"/>
          <w:szCs w:val="22"/>
        </w:rPr>
        <w:t>Overview of the Report on the Summary Approval Procedure</w:t>
      </w:r>
      <w:r w:rsidR="00F34124">
        <w:rPr>
          <w:rFonts w:ascii="Calibri" w:hAnsi="Calibri"/>
          <w:b/>
          <w:sz w:val="22"/>
          <w:szCs w:val="22"/>
        </w:rPr>
        <w:t>:</w:t>
      </w:r>
    </w:p>
    <w:p w:rsidR="00A63321" w:rsidRPr="00BC35D1" w:rsidRDefault="0033406D" w:rsidP="000D4C13">
      <w:pPr>
        <w:rPr>
          <w:rFonts w:ascii="Calibri" w:hAnsi="Calibri" w:cs="Calibri"/>
        </w:rPr>
      </w:pPr>
      <w:r>
        <w:rPr>
          <w:rFonts w:ascii="Calibri" w:hAnsi="Calibri" w:cs="Calibri"/>
        </w:rPr>
        <w:t xml:space="preserve">The Chairperson of the Corporate Governance Committee, </w:t>
      </w:r>
      <w:r w:rsidR="000D4C13" w:rsidRPr="00BC35D1">
        <w:rPr>
          <w:rFonts w:ascii="Calibri" w:hAnsi="Calibri" w:cs="Calibri"/>
        </w:rPr>
        <w:t>Mr. Ralph MacDarby</w:t>
      </w:r>
      <w:r>
        <w:rPr>
          <w:rFonts w:ascii="Calibri" w:hAnsi="Calibri" w:cs="Calibri"/>
        </w:rPr>
        <w:t xml:space="preserve"> </w:t>
      </w:r>
      <w:r w:rsidR="000D4C13" w:rsidRPr="00BC35D1">
        <w:rPr>
          <w:rFonts w:ascii="Calibri" w:hAnsi="Calibri" w:cs="Calibri"/>
        </w:rPr>
        <w:t>provide</w:t>
      </w:r>
      <w:r>
        <w:rPr>
          <w:rFonts w:ascii="Calibri" w:hAnsi="Calibri" w:cs="Calibri"/>
        </w:rPr>
        <w:t>d</w:t>
      </w:r>
      <w:r w:rsidR="000D4C13" w:rsidRPr="00BC35D1">
        <w:rPr>
          <w:rFonts w:ascii="Calibri" w:hAnsi="Calibri" w:cs="Calibri"/>
        </w:rPr>
        <w:t xml:space="preserve"> the following overview: </w:t>
      </w:r>
    </w:p>
    <w:p w:rsidR="000D4C13" w:rsidRPr="00BC35D1" w:rsidRDefault="000D4C13" w:rsidP="000D4C13">
      <w:pPr>
        <w:rPr>
          <w:rFonts w:ascii="Calibri" w:hAnsi="Calibri" w:cs="Calibri"/>
        </w:rPr>
      </w:pPr>
    </w:p>
    <w:p w:rsidR="000D4C13" w:rsidRPr="00BC35D1" w:rsidRDefault="000D4C13" w:rsidP="000D4C13">
      <w:pPr>
        <w:rPr>
          <w:rFonts w:asciiTheme="minorHAnsi" w:hAnsiTheme="minorHAnsi" w:cstheme="minorHAnsi"/>
          <w:i/>
          <w:iCs/>
          <w:bdr w:val="none" w:sz="0" w:space="0" w:color="auto" w:frame="1"/>
        </w:rPr>
      </w:pPr>
      <w:r w:rsidRPr="00BC35D1">
        <w:rPr>
          <w:rFonts w:asciiTheme="minorHAnsi" w:hAnsiTheme="minorHAnsi" w:cstheme="minorHAnsi"/>
          <w:shd w:val="clear" w:color="auto" w:fill="FFFFFF"/>
        </w:rPr>
        <w:t>The Summary Approval Procedure</w:t>
      </w:r>
      <w:r w:rsidR="00C0792B" w:rsidRPr="00BC35D1">
        <w:rPr>
          <w:rFonts w:asciiTheme="minorHAnsi" w:hAnsiTheme="minorHAnsi" w:cstheme="minorHAnsi"/>
          <w:shd w:val="clear" w:color="auto" w:fill="FFFFFF"/>
        </w:rPr>
        <w:t xml:space="preserve"> (SAP)</w:t>
      </w:r>
      <w:r w:rsidRPr="00BC35D1">
        <w:rPr>
          <w:rFonts w:asciiTheme="minorHAnsi" w:hAnsiTheme="minorHAnsi" w:cstheme="minorHAnsi"/>
          <w:shd w:val="clear" w:color="auto" w:fill="FFFFFF"/>
        </w:rPr>
        <w:t xml:space="preserve"> </w:t>
      </w:r>
      <w:r w:rsidR="00C0792B" w:rsidRPr="00BC35D1">
        <w:rPr>
          <w:rFonts w:asciiTheme="minorHAnsi" w:hAnsiTheme="minorHAnsi" w:cstheme="minorHAnsi"/>
          <w:shd w:val="clear" w:color="auto" w:fill="FFFFFF"/>
        </w:rPr>
        <w:t>was a</w:t>
      </w:r>
      <w:r w:rsidRPr="00BC35D1">
        <w:rPr>
          <w:rFonts w:asciiTheme="minorHAnsi" w:hAnsiTheme="minorHAnsi" w:cstheme="minorHAnsi"/>
          <w:shd w:val="clear" w:color="auto" w:fill="FFFFFF"/>
        </w:rPr>
        <w:t xml:space="preserve"> new </w:t>
      </w:r>
      <w:r w:rsidR="00C0792B" w:rsidRPr="00BC35D1">
        <w:rPr>
          <w:rFonts w:asciiTheme="minorHAnsi" w:hAnsiTheme="minorHAnsi" w:cstheme="minorHAnsi"/>
          <w:shd w:val="clear" w:color="auto" w:fill="FFFFFF"/>
        </w:rPr>
        <w:t xml:space="preserve">and </w:t>
      </w:r>
      <w:r w:rsidRPr="00BC35D1">
        <w:rPr>
          <w:rFonts w:asciiTheme="minorHAnsi" w:hAnsiTheme="minorHAnsi" w:cstheme="minorHAnsi"/>
          <w:shd w:val="clear" w:color="auto" w:fill="FFFFFF"/>
        </w:rPr>
        <w:t>significant feature of the </w:t>
      </w:r>
      <w:r w:rsidRPr="00BC35D1">
        <w:rPr>
          <w:rFonts w:asciiTheme="minorHAnsi" w:hAnsiTheme="minorHAnsi" w:cstheme="minorHAnsi"/>
          <w:i/>
          <w:iCs/>
          <w:bdr w:val="none" w:sz="0" w:space="0" w:color="auto" w:frame="1"/>
        </w:rPr>
        <w:t>Companies Act 2014</w:t>
      </w:r>
      <w:r w:rsidRPr="00BC35D1">
        <w:rPr>
          <w:rFonts w:asciiTheme="minorHAnsi" w:hAnsiTheme="minorHAnsi" w:cstheme="minorHAnsi"/>
          <w:shd w:val="clear" w:color="auto" w:fill="FFFFFF"/>
        </w:rPr>
        <w:t>. The SAP (found in Part 4 of the Act) implement</w:t>
      </w:r>
      <w:r w:rsidR="00C0792B" w:rsidRPr="00BC35D1">
        <w:rPr>
          <w:rFonts w:asciiTheme="minorHAnsi" w:hAnsiTheme="minorHAnsi" w:cstheme="minorHAnsi"/>
          <w:shd w:val="clear" w:color="auto" w:fill="FFFFFF"/>
        </w:rPr>
        <w:t>ed</w:t>
      </w:r>
      <w:r w:rsidRPr="00BC35D1">
        <w:rPr>
          <w:rFonts w:asciiTheme="minorHAnsi" w:hAnsiTheme="minorHAnsi" w:cstheme="minorHAnsi"/>
          <w:shd w:val="clear" w:color="auto" w:fill="FFFFFF"/>
        </w:rPr>
        <w:t xml:space="preserve"> the recommendations contained in the </w:t>
      </w:r>
      <w:hyperlink r:id="rId9" w:history="1">
        <w:r w:rsidRPr="00BC35D1">
          <w:rPr>
            <w:rFonts w:asciiTheme="minorHAnsi" w:hAnsiTheme="minorHAnsi" w:cstheme="minorHAnsi"/>
            <w:i/>
            <w:iCs/>
            <w:bdr w:val="none" w:sz="0" w:space="0" w:color="auto" w:frame="1"/>
          </w:rPr>
          <w:t>First Report of the Company Law Review Group</w:t>
        </w:r>
      </w:hyperlink>
      <w:r w:rsidRPr="00BC35D1">
        <w:rPr>
          <w:rFonts w:asciiTheme="minorHAnsi" w:hAnsiTheme="minorHAnsi" w:cstheme="minorHAnsi"/>
          <w:shd w:val="clear" w:color="auto" w:fill="FFFFFF"/>
        </w:rPr>
        <w:t> that a streamlined validation procedure, for the carrying out of certain transactions, be introduced, with minor variations depending on the transactions. It replace</w:t>
      </w:r>
      <w:r w:rsidR="00C0792B" w:rsidRPr="00BC35D1">
        <w:rPr>
          <w:rFonts w:asciiTheme="minorHAnsi" w:hAnsiTheme="minorHAnsi" w:cstheme="minorHAnsi"/>
          <w:shd w:val="clear" w:color="auto" w:fill="FFFFFF"/>
        </w:rPr>
        <w:t>d</w:t>
      </w:r>
      <w:r w:rsidRPr="00BC35D1">
        <w:rPr>
          <w:rFonts w:asciiTheme="minorHAnsi" w:hAnsiTheme="minorHAnsi" w:cstheme="minorHAnsi"/>
          <w:shd w:val="clear" w:color="auto" w:fill="FFFFFF"/>
        </w:rPr>
        <w:t xml:space="preserve"> the procedures contained in sections 60(2) to 60(11) and section 256 of the </w:t>
      </w:r>
      <w:r w:rsidRPr="00BC35D1">
        <w:rPr>
          <w:rFonts w:asciiTheme="minorHAnsi" w:hAnsiTheme="minorHAnsi" w:cstheme="minorHAnsi"/>
          <w:i/>
          <w:iCs/>
          <w:bdr w:val="none" w:sz="0" w:space="0" w:color="auto" w:frame="1"/>
        </w:rPr>
        <w:t>Companies Act 1963</w:t>
      </w:r>
      <w:r w:rsidRPr="00BC35D1">
        <w:rPr>
          <w:rFonts w:asciiTheme="minorHAnsi" w:hAnsiTheme="minorHAnsi" w:cstheme="minorHAnsi"/>
          <w:shd w:val="clear" w:color="auto" w:fill="FFFFFF"/>
        </w:rPr>
        <w:t> and section 34 of the </w:t>
      </w:r>
      <w:r w:rsidRPr="00BC35D1">
        <w:rPr>
          <w:rFonts w:asciiTheme="minorHAnsi" w:hAnsiTheme="minorHAnsi" w:cstheme="minorHAnsi"/>
          <w:i/>
          <w:iCs/>
          <w:bdr w:val="none" w:sz="0" w:space="0" w:color="auto" w:frame="1"/>
        </w:rPr>
        <w:t>Companies Act 1990</w:t>
      </w:r>
      <w:r w:rsidR="00C0792B" w:rsidRPr="00BC35D1">
        <w:rPr>
          <w:rFonts w:asciiTheme="minorHAnsi" w:hAnsiTheme="minorHAnsi" w:cstheme="minorHAnsi"/>
          <w:i/>
          <w:iCs/>
          <w:bdr w:val="none" w:sz="0" w:space="0" w:color="auto" w:frame="1"/>
        </w:rPr>
        <w:t>.</w:t>
      </w:r>
    </w:p>
    <w:p w:rsidR="00C0792B" w:rsidRPr="00BC35D1" w:rsidRDefault="00C0792B" w:rsidP="000D4C13">
      <w:pPr>
        <w:rPr>
          <w:rFonts w:asciiTheme="minorHAnsi" w:hAnsiTheme="minorHAnsi" w:cstheme="minorHAnsi"/>
          <w:iCs/>
          <w:bdr w:val="none" w:sz="0" w:space="0" w:color="auto" w:frame="1"/>
        </w:rPr>
      </w:pPr>
    </w:p>
    <w:p w:rsidR="00C0792B" w:rsidRPr="00BC35D1" w:rsidRDefault="00C0792B" w:rsidP="000D4C13">
      <w:pPr>
        <w:rPr>
          <w:rFonts w:asciiTheme="minorHAnsi" w:hAnsiTheme="minorHAnsi" w:cstheme="minorHAnsi"/>
          <w:iCs/>
          <w:bdr w:val="none" w:sz="0" w:space="0" w:color="auto" w:frame="1"/>
        </w:rPr>
      </w:pPr>
      <w:r w:rsidRPr="00BC35D1">
        <w:rPr>
          <w:rFonts w:asciiTheme="minorHAnsi" w:hAnsiTheme="minorHAnsi" w:cstheme="minorHAnsi"/>
          <w:iCs/>
          <w:bdr w:val="none" w:sz="0" w:space="0" w:color="auto" w:frame="1"/>
        </w:rPr>
        <w:t xml:space="preserve">Given that the SAP has now been in operation for </w:t>
      </w:r>
      <w:proofErr w:type="gramStart"/>
      <w:r w:rsidRPr="00BC35D1">
        <w:rPr>
          <w:rFonts w:asciiTheme="minorHAnsi" w:hAnsiTheme="minorHAnsi" w:cstheme="minorHAnsi"/>
          <w:iCs/>
          <w:bdr w:val="none" w:sz="0" w:space="0" w:color="auto" w:frame="1"/>
        </w:rPr>
        <w:t>a number of</w:t>
      </w:r>
      <w:proofErr w:type="gramEnd"/>
      <w:r w:rsidRPr="00BC35D1">
        <w:rPr>
          <w:rFonts w:asciiTheme="minorHAnsi" w:hAnsiTheme="minorHAnsi" w:cstheme="minorHAnsi"/>
          <w:iCs/>
          <w:bdr w:val="none" w:sz="0" w:space="0" w:color="auto" w:frame="1"/>
        </w:rPr>
        <w:t xml:space="preserve"> years, the Minister included its review as part of our work programme to ensure that it is operating as intended. </w:t>
      </w:r>
    </w:p>
    <w:p w:rsidR="000A6C7D" w:rsidRPr="00BC35D1" w:rsidRDefault="000A6C7D" w:rsidP="000D4C13">
      <w:pPr>
        <w:rPr>
          <w:rFonts w:asciiTheme="minorHAnsi" w:hAnsiTheme="minorHAnsi" w:cstheme="minorHAnsi"/>
          <w:iCs/>
          <w:bdr w:val="none" w:sz="0" w:space="0" w:color="auto" w:frame="1"/>
        </w:rPr>
      </w:pPr>
    </w:p>
    <w:p w:rsidR="000A6C7D" w:rsidRPr="00BC35D1" w:rsidRDefault="000A6C7D" w:rsidP="000D4C13">
      <w:pPr>
        <w:rPr>
          <w:rFonts w:asciiTheme="minorHAnsi" w:hAnsiTheme="minorHAnsi" w:cstheme="minorHAnsi"/>
          <w:iCs/>
          <w:bdr w:val="none" w:sz="0" w:space="0" w:color="auto" w:frame="1"/>
        </w:rPr>
      </w:pPr>
      <w:r w:rsidRPr="00BC35D1">
        <w:rPr>
          <w:rFonts w:asciiTheme="minorHAnsi" w:hAnsiTheme="minorHAnsi" w:cstheme="minorHAnsi"/>
          <w:iCs/>
          <w:bdr w:val="none" w:sz="0" w:space="0" w:color="auto" w:frame="1"/>
        </w:rPr>
        <w:t>The Committee generally reported that the SAP was functioning well, however, there were a small number of technical and important issues which required our consideration;</w:t>
      </w:r>
    </w:p>
    <w:p w:rsidR="000A6C7D" w:rsidRPr="00BC35D1" w:rsidRDefault="000A6C7D" w:rsidP="000D4C13">
      <w:pPr>
        <w:rPr>
          <w:rFonts w:asciiTheme="minorHAnsi" w:hAnsiTheme="minorHAnsi" w:cstheme="minorHAnsi"/>
          <w:iCs/>
          <w:bdr w:val="none" w:sz="0" w:space="0" w:color="auto" w:frame="1"/>
        </w:rPr>
      </w:pPr>
    </w:p>
    <w:p w:rsidR="000A6C7D" w:rsidRPr="00BC35D1" w:rsidRDefault="009D7C7A" w:rsidP="000A6C7D">
      <w:pPr>
        <w:pStyle w:val="ListParagraph"/>
        <w:numPr>
          <w:ilvl w:val="0"/>
          <w:numId w:val="23"/>
        </w:numPr>
        <w:rPr>
          <w:rFonts w:asciiTheme="minorHAnsi" w:hAnsiTheme="minorHAnsi" w:cstheme="minorHAnsi"/>
          <w:sz w:val="24"/>
          <w:szCs w:val="24"/>
        </w:rPr>
      </w:pPr>
      <w:r w:rsidRPr="00BC35D1">
        <w:rPr>
          <w:rFonts w:asciiTheme="minorHAnsi" w:hAnsiTheme="minorHAnsi" w:cstheme="minorHAnsi"/>
          <w:sz w:val="24"/>
          <w:szCs w:val="24"/>
        </w:rPr>
        <w:t>The registration of a transfer of property effected by merger via the SAP</w:t>
      </w:r>
      <w:r w:rsidR="00013FB5" w:rsidRPr="00BC35D1">
        <w:rPr>
          <w:rFonts w:asciiTheme="minorHAnsi" w:hAnsiTheme="minorHAnsi" w:cstheme="minorHAnsi"/>
          <w:sz w:val="24"/>
          <w:szCs w:val="24"/>
        </w:rPr>
        <w:t>;</w:t>
      </w:r>
    </w:p>
    <w:p w:rsidR="00013FB5" w:rsidRPr="00BC35D1" w:rsidRDefault="00013FB5" w:rsidP="000A6C7D">
      <w:pPr>
        <w:pStyle w:val="ListParagraph"/>
        <w:numPr>
          <w:ilvl w:val="0"/>
          <w:numId w:val="23"/>
        </w:numPr>
        <w:rPr>
          <w:rFonts w:asciiTheme="minorHAnsi" w:hAnsiTheme="minorHAnsi" w:cstheme="minorHAnsi"/>
          <w:sz w:val="24"/>
          <w:szCs w:val="24"/>
        </w:rPr>
      </w:pPr>
      <w:r w:rsidRPr="00BC35D1">
        <w:rPr>
          <w:rFonts w:asciiTheme="minorHAnsi" w:hAnsiTheme="minorHAnsi" w:cstheme="minorHAnsi"/>
          <w:sz w:val="24"/>
          <w:szCs w:val="24"/>
        </w:rPr>
        <w:t>Inspection of documents in domestic mergers effected by SAP;</w:t>
      </w:r>
    </w:p>
    <w:p w:rsidR="00013FB5" w:rsidRPr="00BC35D1" w:rsidRDefault="00013FB5" w:rsidP="000A6C7D">
      <w:pPr>
        <w:pStyle w:val="ListParagraph"/>
        <w:numPr>
          <w:ilvl w:val="0"/>
          <w:numId w:val="23"/>
        </w:numPr>
        <w:rPr>
          <w:rFonts w:asciiTheme="minorHAnsi" w:hAnsiTheme="minorHAnsi" w:cstheme="minorHAnsi"/>
          <w:sz w:val="24"/>
          <w:szCs w:val="24"/>
        </w:rPr>
      </w:pPr>
      <w:r w:rsidRPr="00BC35D1">
        <w:rPr>
          <w:rFonts w:asciiTheme="minorHAnsi" w:hAnsiTheme="minorHAnsi" w:cstheme="minorHAnsi"/>
          <w:sz w:val="24"/>
          <w:szCs w:val="24"/>
        </w:rPr>
        <w:t>The timing of domestic mergers; and</w:t>
      </w:r>
    </w:p>
    <w:p w:rsidR="00013FB5" w:rsidRPr="00BC35D1" w:rsidRDefault="00013FB5" w:rsidP="000A6C7D">
      <w:pPr>
        <w:pStyle w:val="ListParagraph"/>
        <w:numPr>
          <w:ilvl w:val="0"/>
          <w:numId w:val="23"/>
        </w:numPr>
        <w:rPr>
          <w:rFonts w:asciiTheme="minorHAnsi" w:hAnsiTheme="minorHAnsi" w:cstheme="minorHAnsi"/>
          <w:sz w:val="24"/>
          <w:szCs w:val="24"/>
        </w:rPr>
      </w:pPr>
      <w:r w:rsidRPr="00BC35D1">
        <w:rPr>
          <w:rFonts w:asciiTheme="minorHAnsi" w:hAnsiTheme="minorHAnsi" w:cstheme="minorHAnsi"/>
          <w:sz w:val="24"/>
          <w:szCs w:val="24"/>
        </w:rPr>
        <w:t>The transfer of charges in mergers done via the SAP.</w:t>
      </w:r>
    </w:p>
    <w:p w:rsidR="00013FB5" w:rsidRDefault="00013FB5" w:rsidP="00013FB5">
      <w:pPr>
        <w:rPr>
          <w:rFonts w:asciiTheme="minorHAnsi" w:hAnsiTheme="minorHAnsi" w:cstheme="minorHAnsi"/>
        </w:rPr>
      </w:pPr>
      <w:r>
        <w:rPr>
          <w:rFonts w:asciiTheme="minorHAnsi" w:hAnsiTheme="minorHAnsi" w:cstheme="minorHAnsi"/>
        </w:rPr>
        <w:t>While the Committee have come up with what I believe are practical solutions to most of the issues I have mentioned, you will note that we did reach out to the wider Review Group in relation to the transfer of charges in mergers done by way of SA</w:t>
      </w:r>
      <w:r w:rsidR="00D02A20">
        <w:rPr>
          <w:rFonts w:asciiTheme="minorHAnsi" w:hAnsiTheme="minorHAnsi" w:cstheme="minorHAnsi"/>
        </w:rPr>
        <w:t>P</w:t>
      </w:r>
      <w:r>
        <w:rPr>
          <w:rFonts w:asciiTheme="minorHAnsi" w:hAnsiTheme="minorHAnsi" w:cstheme="minorHAnsi"/>
        </w:rPr>
        <w:t xml:space="preserve"> as we felt more specialist expertise was required. </w:t>
      </w:r>
    </w:p>
    <w:p w:rsidR="00013FB5" w:rsidRDefault="00013FB5" w:rsidP="00013FB5">
      <w:pPr>
        <w:rPr>
          <w:rFonts w:asciiTheme="minorHAnsi" w:hAnsiTheme="minorHAnsi" w:cstheme="minorHAnsi"/>
        </w:rPr>
      </w:pPr>
    </w:p>
    <w:p w:rsidR="00013FB5" w:rsidRPr="00BC35D1" w:rsidRDefault="0033406D" w:rsidP="00013FB5">
      <w:pPr>
        <w:spacing w:line="271" w:lineRule="auto"/>
        <w:rPr>
          <w:rFonts w:ascii="Calibri" w:hAnsi="Calibri" w:cs="Calibri"/>
        </w:rPr>
      </w:pPr>
      <w:r>
        <w:rPr>
          <w:rFonts w:ascii="Calibri" w:hAnsi="Calibri" w:cs="Calibri"/>
        </w:rPr>
        <w:t>The Report was put to the floor and adopted pending a minor amendment.</w:t>
      </w:r>
    </w:p>
    <w:p w:rsidR="00D02A20" w:rsidRDefault="00D02A20" w:rsidP="00013FB5">
      <w:pPr>
        <w:spacing w:line="271" w:lineRule="auto"/>
        <w:rPr>
          <w:rFonts w:ascii="Calibri" w:hAnsi="Calibri" w:cs="Calibri"/>
          <w:sz w:val="22"/>
          <w:szCs w:val="22"/>
        </w:rPr>
      </w:pPr>
    </w:p>
    <w:p w:rsidR="00D02A20" w:rsidRDefault="00D02A20" w:rsidP="00013FB5">
      <w:pPr>
        <w:spacing w:line="271" w:lineRule="auto"/>
        <w:rPr>
          <w:rFonts w:ascii="Calibri" w:hAnsi="Calibri" w:cs="Calibri"/>
          <w:b/>
          <w:sz w:val="22"/>
          <w:szCs w:val="22"/>
        </w:rPr>
      </w:pPr>
      <w:r w:rsidRPr="00A63321">
        <w:rPr>
          <w:rFonts w:ascii="Calibri" w:hAnsi="Calibri" w:cs="Calibri"/>
          <w:b/>
          <w:sz w:val="22"/>
          <w:szCs w:val="22"/>
        </w:rPr>
        <w:lastRenderedPageBreak/>
        <w:t>Update on upcoming work programme</w:t>
      </w:r>
      <w:r w:rsidR="00F34124">
        <w:rPr>
          <w:rFonts w:ascii="Calibri" w:hAnsi="Calibri" w:cs="Calibri"/>
          <w:b/>
          <w:sz w:val="22"/>
          <w:szCs w:val="22"/>
        </w:rPr>
        <w:t>:</w:t>
      </w:r>
    </w:p>
    <w:p w:rsidR="0033406D" w:rsidRPr="00F34124" w:rsidRDefault="0033406D" w:rsidP="00013FB5">
      <w:pPr>
        <w:spacing w:line="271" w:lineRule="auto"/>
        <w:rPr>
          <w:rFonts w:ascii="Calibri" w:hAnsi="Calibri" w:cs="Calibri"/>
          <w:sz w:val="22"/>
          <w:szCs w:val="22"/>
        </w:rPr>
      </w:pPr>
      <w:r w:rsidRPr="00F34124">
        <w:rPr>
          <w:rFonts w:ascii="Calibri" w:hAnsi="Calibri" w:cs="Calibri"/>
          <w:sz w:val="22"/>
          <w:szCs w:val="22"/>
        </w:rPr>
        <w:t xml:space="preserve">The Committee Chairperson also gave an update on an additional item of work referred to the Committee by the Review Group’s Chairperson. The Committee will examine </w:t>
      </w:r>
      <w:proofErr w:type="gramStart"/>
      <w:r w:rsidRPr="00F34124">
        <w:rPr>
          <w:rFonts w:ascii="Calibri" w:hAnsi="Calibri" w:cs="Calibri"/>
          <w:sz w:val="22"/>
          <w:szCs w:val="22"/>
        </w:rPr>
        <w:t>a number of</w:t>
      </w:r>
      <w:proofErr w:type="gramEnd"/>
      <w:r w:rsidRPr="00F34124">
        <w:rPr>
          <w:rFonts w:ascii="Calibri" w:hAnsi="Calibri" w:cs="Calibri"/>
          <w:sz w:val="22"/>
          <w:szCs w:val="22"/>
        </w:rPr>
        <w:t xml:space="preserve"> miscellaneous issues arising under the Act</w:t>
      </w:r>
      <w:r w:rsidR="00F34124">
        <w:rPr>
          <w:rFonts w:ascii="Calibri" w:hAnsi="Calibri" w:cs="Calibri"/>
          <w:sz w:val="22"/>
          <w:szCs w:val="22"/>
        </w:rPr>
        <w:t xml:space="preserve"> and make a submission to the Minister with recommendations for legislative change </w:t>
      </w:r>
      <w:r w:rsidR="00915F64">
        <w:rPr>
          <w:rFonts w:ascii="Calibri" w:hAnsi="Calibri" w:cs="Calibri"/>
          <w:sz w:val="22"/>
          <w:szCs w:val="22"/>
        </w:rPr>
        <w:t>as</w:t>
      </w:r>
      <w:r w:rsidR="00F34124">
        <w:rPr>
          <w:rFonts w:ascii="Calibri" w:hAnsi="Calibri" w:cs="Calibri"/>
          <w:sz w:val="22"/>
          <w:szCs w:val="22"/>
        </w:rPr>
        <w:t xml:space="preserve"> appropriate</w:t>
      </w:r>
      <w:r w:rsidRPr="00F34124">
        <w:rPr>
          <w:rFonts w:ascii="Calibri" w:hAnsi="Calibri" w:cs="Calibri"/>
          <w:sz w:val="22"/>
          <w:szCs w:val="22"/>
        </w:rPr>
        <w:t>.</w:t>
      </w:r>
    </w:p>
    <w:p w:rsidR="00013FB5" w:rsidRDefault="00013FB5" w:rsidP="00013FB5">
      <w:pPr>
        <w:rPr>
          <w:rFonts w:ascii="Calibri" w:hAnsi="Calibri" w:cs="Calibri"/>
          <w:sz w:val="22"/>
          <w:szCs w:val="22"/>
        </w:rPr>
      </w:pPr>
    </w:p>
    <w:p w:rsidR="00F34124" w:rsidRPr="00C30032" w:rsidRDefault="00C30032" w:rsidP="00013FB5">
      <w:pPr>
        <w:rPr>
          <w:rFonts w:ascii="Calibri" w:hAnsi="Calibri" w:cs="Calibri"/>
          <w:b/>
          <w:sz w:val="22"/>
          <w:szCs w:val="22"/>
        </w:rPr>
      </w:pPr>
      <w:r w:rsidRPr="00C30032">
        <w:rPr>
          <w:rFonts w:ascii="Calibri" w:hAnsi="Calibri" w:cs="Calibri"/>
          <w:b/>
          <w:sz w:val="22"/>
          <w:szCs w:val="22"/>
        </w:rPr>
        <w:t xml:space="preserve">Committee </w:t>
      </w:r>
      <w:r w:rsidR="00F34124" w:rsidRPr="00C30032">
        <w:rPr>
          <w:rFonts w:ascii="Calibri" w:hAnsi="Calibri" w:cs="Calibri"/>
          <w:b/>
          <w:sz w:val="22"/>
          <w:szCs w:val="22"/>
        </w:rPr>
        <w:t>Chairperson:</w:t>
      </w:r>
    </w:p>
    <w:p w:rsidR="0033406D" w:rsidRPr="00013FB5" w:rsidRDefault="00915F64" w:rsidP="00013FB5">
      <w:pPr>
        <w:rPr>
          <w:rFonts w:asciiTheme="minorHAnsi" w:hAnsiTheme="minorHAnsi" w:cstheme="minorHAnsi"/>
        </w:rPr>
      </w:pPr>
      <w:r>
        <w:rPr>
          <w:rFonts w:ascii="Calibri" w:hAnsi="Calibri" w:cs="Calibri"/>
          <w:sz w:val="22"/>
          <w:szCs w:val="22"/>
        </w:rPr>
        <w:t>Mr. Ralph MacDarby</w:t>
      </w:r>
      <w:r w:rsidR="00F34124">
        <w:rPr>
          <w:rFonts w:ascii="Calibri" w:hAnsi="Calibri" w:cs="Calibri"/>
          <w:sz w:val="22"/>
          <w:szCs w:val="22"/>
        </w:rPr>
        <w:t xml:space="preserve"> informed the Review Group that he would be stepping down from his role as Chairperson</w:t>
      </w:r>
      <w:r w:rsidR="00C30032">
        <w:rPr>
          <w:rFonts w:ascii="Calibri" w:hAnsi="Calibri" w:cs="Calibri"/>
          <w:sz w:val="22"/>
          <w:szCs w:val="22"/>
        </w:rPr>
        <w:t>. The Review Group thanked him for his commitment and dedication to the role. A new chairperson will be elected at the next meeting of the Corporate Governance Committee and members were reminded to send their expressions of interest to the Secretariat.</w:t>
      </w:r>
    </w:p>
    <w:p w:rsidR="000D4C13" w:rsidRPr="00554654" w:rsidRDefault="000D4C13" w:rsidP="00554654"/>
    <w:p w:rsidR="000D68BF" w:rsidRPr="000D68BF" w:rsidRDefault="00AF0134" w:rsidP="00554654">
      <w:pPr>
        <w:pStyle w:val="ListParagraph"/>
        <w:numPr>
          <w:ilvl w:val="0"/>
          <w:numId w:val="2"/>
        </w:numPr>
        <w:rPr>
          <w:b/>
        </w:rPr>
      </w:pPr>
      <w:r>
        <w:rPr>
          <w:b/>
        </w:rPr>
        <w:t xml:space="preserve">EU Measures and European Commission </w:t>
      </w:r>
      <w:r w:rsidRPr="00067ABD">
        <w:rPr>
          <w:b/>
        </w:rPr>
        <w:t>Proposals with relevance to company law</w:t>
      </w:r>
    </w:p>
    <w:p w:rsidR="00087009" w:rsidRDefault="0005762E" w:rsidP="00087009">
      <w:pPr>
        <w:rPr>
          <w:rFonts w:asciiTheme="minorHAnsi" w:hAnsiTheme="minorHAnsi" w:cstheme="minorHAnsi"/>
        </w:rPr>
      </w:pPr>
      <w:r>
        <w:rPr>
          <w:rFonts w:asciiTheme="minorHAnsi" w:hAnsiTheme="minorHAnsi" w:cstheme="minorHAnsi"/>
        </w:rPr>
        <w:t>Ms. Helen Curley provided the following overview of EU Measures and European Commission Proposals with relevance to company law-</w:t>
      </w:r>
    </w:p>
    <w:p w:rsidR="00087009" w:rsidRDefault="00087009" w:rsidP="00087009">
      <w:pPr>
        <w:rPr>
          <w:rFonts w:asciiTheme="minorHAnsi" w:hAnsiTheme="minorHAnsi" w:cstheme="minorHAnsi"/>
          <w:b/>
          <w:sz w:val="22"/>
          <w:szCs w:val="22"/>
        </w:rPr>
      </w:pPr>
    </w:p>
    <w:p w:rsidR="00B1402F" w:rsidRPr="00C30032" w:rsidRDefault="00B1402F" w:rsidP="00B1402F">
      <w:pPr>
        <w:rPr>
          <w:rFonts w:asciiTheme="minorHAnsi" w:hAnsiTheme="minorHAnsi" w:cstheme="minorHAnsi"/>
          <w:b/>
        </w:rPr>
      </w:pPr>
      <w:r w:rsidRPr="00C30032">
        <w:rPr>
          <w:rFonts w:asciiTheme="minorHAnsi" w:hAnsiTheme="minorHAnsi" w:cstheme="minorHAnsi"/>
          <w:b/>
        </w:rPr>
        <w:t>Directive (EU) 2019/1023 on preventative restructuring frameworks, on discharge of debt and disqualifications, and on measures to increase the efficiency of procedures concerning restructuring, insolvency and discharge of debt</w:t>
      </w:r>
    </w:p>
    <w:p w:rsidR="00C7478D" w:rsidRPr="00C30032" w:rsidRDefault="00C7478D" w:rsidP="00B1402F">
      <w:pPr>
        <w:rPr>
          <w:rFonts w:asciiTheme="minorHAnsi" w:hAnsiTheme="minorHAnsi" w:cstheme="minorHAnsi"/>
          <w:b/>
        </w:rPr>
      </w:pPr>
    </w:p>
    <w:p w:rsidR="00083ADA" w:rsidRPr="00C30032" w:rsidRDefault="00C7478D" w:rsidP="00B1402F">
      <w:pPr>
        <w:rPr>
          <w:rFonts w:asciiTheme="minorHAnsi" w:hAnsiTheme="minorHAnsi" w:cstheme="minorHAnsi"/>
        </w:rPr>
      </w:pPr>
      <w:r w:rsidRPr="00C30032">
        <w:rPr>
          <w:rFonts w:asciiTheme="minorHAnsi" w:hAnsiTheme="minorHAnsi" w:cstheme="minorHAnsi"/>
        </w:rPr>
        <w:t xml:space="preserve">The Directive was adopted </w:t>
      </w:r>
      <w:r w:rsidR="00B1402F" w:rsidRPr="00C30032">
        <w:rPr>
          <w:rFonts w:asciiTheme="minorHAnsi" w:hAnsiTheme="minorHAnsi" w:cstheme="minorHAnsi"/>
        </w:rPr>
        <w:t>on 20</w:t>
      </w:r>
      <w:r w:rsidR="00B1402F" w:rsidRPr="00C30032">
        <w:rPr>
          <w:rFonts w:asciiTheme="minorHAnsi" w:hAnsiTheme="minorHAnsi" w:cstheme="minorHAnsi"/>
          <w:vertAlign w:val="superscript"/>
        </w:rPr>
        <w:t>th</w:t>
      </w:r>
      <w:r w:rsidR="00B1402F" w:rsidRPr="00C30032">
        <w:rPr>
          <w:rFonts w:asciiTheme="minorHAnsi" w:hAnsiTheme="minorHAnsi" w:cstheme="minorHAnsi"/>
        </w:rPr>
        <w:t xml:space="preserve"> June 2019</w:t>
      </w:r>
      <w:r w:rsidR="00083ADA" w:rsidRPr="00C30032">
        <w:rPr>
          <w:rFonts w:asciiTheme="minorHAnsi" w:hAnsiTheme="minorHAnsi" w:cstheme="minorHAnsi"/>
        </w:rPr>
        <w:t xml:space="preserve"> and must be transposed, in the main, by 17 July 2021, although there is provision for an extension of one year for Member States encountering </w:t>
      </w:r>
      <w:proofErr w:type="gramStart"/>
      <w:r w:rsidR="00051276" w:rsidRPr="00C30032">
        <w:rPr>
          <w:rFonts w:asciiTheme="minorHAnsi" w:hAnsiTheme="minorHAnsi" w:cstheme="minorHAnsi"/>
        </w:rPr>
        <w:t>particular</w:t>
      </w:r>
      <w:r w:rsidR="00567325" w:rsidRPr="00C30032">
        <w:rPr>
          <w:rFonts w:asciiTheme="minorHAnsi" w:hAnsiTheme="minorHAnsi" w:cstheme="minorHAnsi"/>
        </w:rPr>
        <w:t xml:space="preserve"> </w:t>
      </w:r>
      <w:r w:rsidR="00051276" w:rsidRPr="00C30032">
        <w:rPr>
          <w:rFonts w:asciiTheme="minorHAnsi" w:hAnsiTheme="minorHAnsi" w:cstheme="minorHAnsi"/>
        </w:rPr>
        <w:t>difficulties</w:t>
      </w:r>
      <w:proofErr w:type="gramEnd"/>
      <w:r w:rsidR="00051276" w:rsidRPr="00C30032">
        <w:rPr>
          <w:rFonts w:asciiTheme="minorHAnsi" w:hAnsiTheme="minorHAnsi" w:cstheme="minorHAnsi"/>
        </w:rPr>
        <w:t xml:space="preserve"> in implementation. </w:t>
      </w:r>
    </w:p>
    <w:p w:rsidR="00083ADA" w:rsidRPr="00C30032" w:rsidRDefault="00083ADA" w:rsidP="00B1402F">
      <w:pPr>
        <w:rPr>
          <w:rFonts w:asciiTheme="minorHAnsi" w:hAnsiTheme="minorHAnsi" w:cstheme="minorHAnsi"/>
        </w:rPr>
      </w:pPr>
    </w:p>
    <w:p w:rsidR="002043AC" w:rsidRPr="00C30032" w:rsidRDefault="00051276" w:rsidP="00083ADA">
      <w:pPr>
        <w:rPr>
          <w:rFonts w:asciiTheme="minorHAnsi" w:hAnsiTheme="minorHAnsi" w:cstheme="minorHAnsi"/>
        </w:rPr>
      </w:pPr>
      <w:r w:rsidRPr="00C30032">
        <w:rPr>
          <w:rFonts w:asciiTheme="minorHAnsi" w:hAnsiTheme="minorHAnsi" w:cstheme="minorHAnsi"/>
        </w:rPr>
        <w:t>The Directive se</w:t>
      </w:r>
      <w:r w:rsidR="00083ADA" w:rsidRPr="00C30032">
        <w:rPr>
          <w:rFonts w:asciiTheme="minorHAnsi" w:hAnsiTheme="minorHAnsi" w:cstheme="minorHAnsi"/>
        </w:rPr>
        <w:t>eks to harmonise aspects of national insolvency laws – both for companies and for individuals. It is focused on specific areas of insolvency law – ‘early restructuring’ opportunities (for businesses in financial difficulties</w:t>
      </w:r>
      <w:r w:rsidRPr="00C30032">
        <w:rPr>
          <w:rFonts w:asciiTheme="minorHAnsi" w:hAnsiTheme="minorHAnsi" w:cstheme="minorHAnsi"/>
        </w:rPr>
        <w:t xml:space="preserve">) </w:t>
      </w:r>
      <w:r w:rsidR="00083ADA" w:rsidRPr="00C30032">
        <w:rPr>
          <w:rFonts w:asciiTheme="minorHAnsi" w:hAnsiTheme="minorHAnsi" w:cstheme="minorHAnsi"/>
        </w:rPr>
        <w:t>and ensuring a ‘second chance’ for ‘honest entrepreneurs’ who become insolvent without any fraud or malpractice.</w:t>
      </w:r>
    </w:p>
    <w:p w:rsidR="002043AC" w:rsidRPr="00C30032" w:rsidRDefault="002043AC" w:rsidP="00083ADA">
      <w:pPr>
        <w:rPr>
          <w:rFonts w:asciiTheme="minorHAnsi" w:hAnsiTheme="minorHAnsi" w:cstheme="minorHAnsi"/>
        </w:rPr>
      </w:pPr>
    </w:p>
    <w:p w:rsidR="00C54454" w:rsidRPr="00C30032" w:rsidRDefault="00083ADA" w:rsidP="00B1402F">
      <w:pPr>
        <w:rPr>
          <w:rFonts w:asciiTheme="minorHAnsi" w:hAnsiTheme="minorHAnsi" w:cstheme="minorHAnsi"/>
        </w:rPr>
      </w:pPr>
      <w:r w:rsidRPr="00C30032">
        <w:rPr>
          <w:rFonts w:asciiTheme="minorHAnsi" w:hAnsiTheme="minorHAnsi" w:cstheme="minorHAnsi"/>
        </w:rPr>
        <w:t xml:space="preserve"> </w:t>
      </w:r>
      <w:r w:rsidR="002043AC" w:rsidRPr="00C30032">
        <w:rPr>
          <w:rFonts w:asciiTheme="minorHAnsi" w:hAnsiTheme="minorHAnsi" w:cstheme="minorHAnsi"/>
        </w:rPr>
        <w:t xml:space="preserve">Many </w:t>
      </w:r>
      <w:r w:rsidRPr="00C30032">
        <w:rPr>
          <w:rFonts w:asciiTheme="minorHAnsi" w:hAnsiTheme="minorHAnsi" w:cstheme="minorHAnsi"/>
        </w:rPr>
        <w:t>Member States</w:t>
      </w:r>
      <w:r w:rsidR="002043AC" w:rsidRPr="00C30032">
        <w:rPr>
          <w:rFonts w:asciiTheme="minorHAnsi" w:hAnsiTheme="minorHAnsi" w:cstheme="minorHAnsi"/>
        </w:rPr>
        <w:t xml:space="preserve"> maintain a </w:t>
      </w:r>
      <w:r w:rsidRPr="00C30032">
        <w:rPr>
          <w:rFonts w:asciiTheme="minorHAnsi" w:hAnsiTheme="minorHAnsi" w:cstheme="minorHAnsi"/>
        </w:rPr>
        <w:t>very restrictive approach to distressed businesses – making no provision for early restructuring to avoid company insolvency or</w:t>
      </w:r>
      <w:r w:rsidR="00C30032">
        <w:rPr>
          <w:rFonts w:asciiTheme="minorHAnsi" w:hAnsiTheme="minorHAnsi" w:cstheme="minorHAnsi"/>
        </w:rPr>
        <w:t xml:space="preserve"> </w:t>
      </w:r>
      <w:r w:rsidRPr="00C30032">
        <w:rPr>
          <w:rFonts w:asciiTheme="minorHAnsi" w:hAnsiTheme="minorHAnsi" w:cstheme="minorHAnsi"/>
        </w:rPr>
        <w:t xml:space="preserve">refusing discharge to an insolvent individual until most or </w:t>
      </w:r>
      <w:proofErr w:type="gramStart"/>
      <w:r w:rsidRPr="00C30032">
        <w:rPr>
          <w:rFonts w:asciiTheme="minorHAnsi" w:hAnsiTheme="minorHAnsi" w:cstheme="minorHAnsi"/>
        </w:rPr>
        <w:t>all of</w:t>
      </w:r>
      <w:proofErr w:type="gramEnd"/>
      <w:r w:rsidRPr="00C30032">
        <w:rPr>
          <w:rFonts w:asciiTheme="minorHAnsi" w:hAnsiTheme="minorHAnsi" w:cstheme="minorHAnsi"/>
        </w:rPr>
        <w:t xml:space="preserve"> the debt was repaid, even for honest business failures and irrespective of capacity to pay.</w:t>
      </w:r>
      <w:r w:rsidR="00051276" w:rsidRPr="00C30032">
        <w:rPr>
          <w:rFonts w:asciiTheme="minorHAnsi" w:hAnsiTheme="minorHAnsi" w:cstheme="minorHAnsi"/>
        </w:rPr>
        <w:t xml:space="preserve"> </w:t>
      </w:r>
      <w:r w:rsidR="002043AC" w:rsidRPr="00C30032">
        <w:rPr>
          <w:rFonts w:asciiTheme="minorHAnsi" w:hAnsiTheme="minorHAnsi" w:cstheme="minorHAnsi"/>
        </w:rPr>
        <w:t xml:space="preserve"> The Directive </w:t>
      </w:r>
      <w:r w:rsidR="00C54454" w:rsidRPr="00C30032">
        <w:rPr>
          <w:rFonts w:asciiTheme="minorHAnsi" w:hAnsiTheme="minorHAnsi" w:cstheme="minorHAnsi"/>
        </w:rPr>
        <w:t>provides</w:t>
      </w:r>
      <w:r w:rsidR="00B1402F" w:rsidRPr="00C30032">
        <w:rPr>
          <w:rFonts w:asciiTheme="minorHAnsi" w:hAnsiTheme="minorHAnsi" w:cstheme="minorHAnsi"/>
        </w:rPr>
        <w:t xml:space="preserve"> new legal tools to rescue viable businesses and entrepreneurs</w:t>
      </w:r>
      <w:r w:rsidR="00C54454" w:rsidRPr="00C30032">
        <w:rPr>
          <w:rFonts w:asciiTheme="minorHAnsi" w:hAnsiTheme="minorHAnsi" w:cstheme="minorHAnsi"/>
          <w:shd w:val="clear" w:color="auto" w:fill="FFFFFF"/>
        </w:rPr>
        <w:t xml:space="preserve"> and to enhance the rescue culture in the EU based on the principle of second chance</w:t>
      </w:r>
      <w:r w:rsidR="00B1402F" w:rsidRPr="00C30032">
        <w:rPr>
          <w:rFonts w:asciiTheme="minorHAnsi" w:hAnsiTheme="minorHAnsi" w:cstheme="minorHAnsi"/>
        </w:rPr>
        <w:t>.</w:t>
      </w:r>
    </w:p>
    <w:p w:rsidR="00C54454" w:rsidRPr="00C30032" w:rsidRDefault="00C54454" w:rsidP="00B1402F">
      <w:pPr>
        <w:rPr>
          <w:rFonts w:asciiTheme="minorHAnsi" w:hAnsiTheme="minorHAnsi" w:cstheme="minorHAnsi"/>
        </w:rPr>
      </w:pPr>
    </w:p>
    <w:p w:rsidR="0025394E" w:rsidRPr="00C30032" w:rsidRDefault="00C54454" w:rsidP="0025394E">
      <w:pPr>
        <w:rPr>
          <w:rFonts w:asciiTheme="minorHAnsi" w:hAnsiTheme="minorHAnsi" w:cstheme="minorHAnsi"/>
        </w:rPr>
      </w:pPr>
      <w:r w:rsidRPr="00C30032">
        <w:rPr>
          <w:rFonts w:asciiTheme="minorHAnsi" w:hAnsiTheme="minorHAnsi" w:cstheme="minorHAnsi"/>
        </w:rPr>
        <w:t xml:space="preserve">Ireland already has a preventive restructuring framework in its examinership law. The Department is </w:t>
      </w:r>
      <w:r w:rsidR="0025394E" w:rsidRPr="00C30032">
        <w:rPr>
          <w:rFonts w:asciiTheme="minorHAnsi" w:hAnsiTheme="minorHAnsi" w:cstheme="minorHAnsi"/>
        </w:rPr>
        <w:t xml:space="preserve">currently is currently mapping the adopted Directive against the Companies Act 2014 and is considering hat amendments might be necessary. It is intended to launch a consultation on transposition before the end of the year.  </w:t>
      </w:r>
    </w:p>
    <w:p w:rsidR="0025394E" w:rsidRPr="00C30032" w:rsidRDefault="0025394E" w:rsidP="0025394E">
      <w:pPr>
        <w:rPr>
          <w:rFonts w:asciiTheme="minorHAnsi" w:hAnsiTheme="minorHAnsi" w:cstheme="minorHAnsi"/>
          <w:iCs/>
        </w:rPr>
      </w:pPr>
    </w:p>
    <w:p w:rsidR="00C54454" w:rsidRPr="00567325" w:rsidRDefault="00C54454" w:rsidP="00B1402F">
      <w:pPr>
        <w:rPr>
          <w:rFonts w:cstheme="minorHAnsi"/>
          <w:color w:val="FF0000"/>
        </w:rPr>
      </w:pPr>
    </w:p>
    <w:p w:rsidR="00087009" w:rsidRPr="00567325" w:rsidRDefault="00087009" w:rsidP="00087009">
      <w:pPr>
        <w:rPr>
          <w:rFonts w:asciiTheme="minorHAnsi" w:hAnsiTheme="minorHAnsi" w:cstheme="minorHAnsi"/>
          <w:b/>
          <w:sz w:val="22"/>
          <w:szCs w:val="22"/>
        </w:rPr>
      </w:pPr>
      <w:r w:rsidRPr="00567325">
        <w:rPr>
          <w:rFonts w:asciiTheme="minorHAnsi" w:hAnsiTheme="minorHAnsi" w:cstheme="minorHAnsi"/>
          <w:b/>
          <w:sz w:val="22"/>
          <w:szCs w:val="22"/>
        </w:rPr>
        <w:t>Directive (EU) 2019/1151</w:t>
      </w:r>
      <w:r w:rsidR="00BC35D1" w:rsidRPr="00567325">
        <w:rPr>
          <w:rFonts w:asciiTheme="minorHAnsi" w:hAnsiTheme="minorHAnsi" w:cstheme="minorHAnsi"/>
          <w:b/>
          <w:sz w:val="22"/>
          <w:szCs w:val="22"/>
          <w:shd w:val="clear" w:color="auto" w:fill="FFFFFF"/>
        </w:rPr>
        <w:t xml:space="preserve"> as regards the use of digital tools and processes in company law</w:t>
      </w:r>
      <w:r w:rsidRPr="00567325">
        <w:rPr>
          <w:rFonts w:asciiTheme="minorHAnsi" w:hAnsiTheme="minorHAnsi" w:cstheme="minorHAnsi"/>
          <w:b/>
          <w:sz w:val="22"/>
          <w:szCs w:val="22"/>
        </w:rPr>
        <w:t xml:space="preserve"> </w:t>
      </w:r>
    </w:p>
    <w:p w:rsidR="00BC35D1" w:rsidRPr="00567325" w:rsidRDefault="00BC35D1" w:rsidP="00087009">
      <w:pPr>
        <w:rPr>
          <w:rFonts w:asciiTheme="minorHAnsi" w:hAnsiTheme="minorHAnsi" w:cstheme="minorHAnsi"/>
          <w:b/>
        </w:rPr>
      </w:pPr>
    </w:p>
    <w:p w:rsidR="00BC35D1" w:rsidRPr="005A1349" w:rsidRDefault="00BC35D1" w:rsidP="00087009">
      <w:pPr>
        <w:rPr>
          <w:rFonts w:asciiTheme="minorHAnsi" w:hAnsiTheme="minorHAnsi" w:cstheme="minorHAnsi"/>
          <w:b/>
          <w:sz w:val="22"/>
          <w:szCs w:val="22"/>
        </w:rPr>
      </w:pPr>
      <w:r w:rsidRPr="00567325">
        <w:rPr>
          <w:rFonts w:asciiTheme="minorHAnsi" w:eastAsia="Calibri" w:hAnsiTheme="minorHAnsi" w:cstheme="minorHAnsi"/>
          <w:sz w:val="22"/>
          <w:szCs w:val="22"/>
          <w:lang w:val="en-GB"/>
        </w:rPr>
        <w:lastRenderedPageBreak/>
        <w:t xml:space="preserve">The proposal for a directive on digital tools </w:t>
      </w:r>
      <w:r w:rsidR="005A1349">
        <w:rPr>
          <w:rFonts w:asciiTheme="minorHAnsi" w:eastAsia="Calibri" w:hAnsiTheme="minorHAnsi" w:cstheme="minorHAnsi"/>
          <w:sz w:val="22"/>
          <w:szCs w:val="22"/>
          <w:lang w:val="en-GB"/>
        </w:rPr>
        <w:t>was adopted on the 20 June 2019</w:t>
      </w:r>
      <w:r w:rsidRPr="00567325">
        <w:rPr>
          <w:rFonts w:asciiTheme="minorHAnsi" w:eastAsia="Calibri" w:hAnsiTheme="minorHAnsi" w:cstheme="minorHAnsi"/>
          <w:sz w:val="22"/>
          <w:szCs w:val="22"/>
          <w:lang w:val="en-GB"/>
        </w:rPr>
        <w:t xml:space="preserve">. The objective of the proposal is to propose new company law rules to provide a wider range of digital </w:t>
      </w:r>
      <w:r w:rsidRPr="005A1349">
        <w:rPr>
          <w:rFonts w:asciiTheme="minorHAnsi" w:eastAsia="Calibri" w:hAnsiTheme="minorHAnsi" w:cstheme="minorHAnsi"/>
          <w:sz w:val="22"/>
          <w:szCs w:val="22"/>
          <w:lang w:val="en-GB"/>
        </w:rPr>
        <w:t>solutions to companies within the Single Market.</w:t>
      </w:r>
    </w:p>
    <w:p w:rsidR="00087009" w:rsidRPr="005A1349" w:rsidRDefault="00087009" w:rsidP="00087009">
      <w:pPr>
        <w:rPr>
          <w:rFonts w:asciiTheme="minorHAnsi" w:hAnsiTheme="minorHAnsi" w:cstheme="minorHAnsi"/>
        </w:rPr>
      </w:pPr>
    </w:p>
    <w:p w:rsidR="00AF0134" w:rsidRPr="005A1349" w:rsidRDefault="00AF0134" w:rsidP="00AF0134">
      <w:pPr>
        <w:rPr>
          <w:rFonts w:asciiTheme="minorHAnsi" w:hAnsiTheme="minorHAnsi" w:cstheme="minorHAnsi"/>
          <w:b/>
          <w:sz w:val="22"/>
          <w:szCs w:val="22"/>
        </w:rPr>
      </w:pPr>
      <w:r w:rsidRPr="005A1349">
        <w:rPr>
          <w:rFonts w:asciiTheme="minorHAnsi" w:hAnsiTheme="minorHAnsi" w:cstheme="minorHAnsi"/>
          <w:b/>
          <w:sz w:val="22"/>
          <w:szCs w:val="22"/>
        </w:rPr>
        <w:t>Directive (EU) 2017/828 of the European Parliament and of the Council of 17 May 2017 amending Directive 2007/36/EC as regards the encouragement of long-term shareholder engagement</w:t>
      </w:r>
    </w:p>
    <w:p w:rsidR="00AF0134" w:rsidRPr="005A1349" w:rsidRDefault="00AF0134" w:rsidP="00AF0134">
      <w:pPr>
        <w:rPr>
          <w:rFonts w:asciiTheme="minorHAnsi" w:hAnsiTheme="minorHAnsi" w:cstheme="minorHAnsi"/>
          <w:b/>
          <w:bCs/>
          <w:sz w:val="22"/>
          <w:szCs w:val="22"/>
        </w:rPr>
      </w:pPr>
    </w:p>
    <w:p w:rsidR="00567325" w:rsidRDefault="00567325" w:rsidP="00567325">
      <w:pPr>
        <w:spacing w:line="276" w:lineRule="auto"/>
        <w:jc w:val="both"/>
        <w:rPr>
          <w:rFonts w:ascii="Calibri" w:hAnsi="Calibri" w:cs="Calibri"/>
          <w:sz w:val="22"/>
          <w:szCs w:val="22"/>
        </w:rPr>
      </w:pPr>
      <w:r w:rsidRPr="005A1349">
        <w:rPr>
          <w:rFonts w:ascii="Calibri" w:hAnsi="Calibri" w:cs="Calibri"/>
          <w:sz w:val="22"/>
          <w:szCs w:val="22"/>
        </w:rPr>
        <w:t xml:space="preserve">The deadline for transposition of Directive (EU) 2017/828 (Shareholders’ Rights’ Directive) was 10 June 2019.  </w:t>
      </w:r>
    </w:p>
    <w:p w:rsidR="00C30032" w:rsidRPr="005A1349" w:rsidRDefault="00C30032" w:rsidP="00567325">
      <w:pPr>
        <w:spacing w:line="276" w:lineRule="auto"/>
        <w:jc w:val="both"/>
        <w:rPr>
          <w:rFonts w:ascii="Calibri" w:hAnsi="Calibri" w:cs="Calibri"/>
          <w:sz w:val="22"/>
          <w:szCs w:val="22"/>
        </w:rPr>
      </w:pPr>
    </w:p>
    <w:p w:rsidR="00AF0134" w:rsidRPr="005A1349" w:rsidRDefault="00AF0134" w:rsidP="001230F1">
      <w:pPr>
        <w:spacing w:line="276" w:lineRule="auto"/>
        <w:jc w:val="both"/>
        <w:rPr>
          <w:rFonts w:ascii="Calibri" w:hAnsi="Calibri" w:cs="Calibri"/>
          <w:sz w:val="22"/>
          <w:szCs w:val="22"/>
        </w:rPr>
      </w:pPr>
      <w:r w:rsidRPr="005A1349">
        <w:rPr>
          <w:rFonts w:ascii="Calibri" w:hAnsi="Calibri" w:cs="Calibri"/>
          <w:sz w:val="22"/>
          <w:szCs w:val="22"/>
        </w:rPr>
        <w:t xml:space="preserve">The </w:t>
      </w:r>
      <w:r w:rsidR="0025394E" w:rsidRPr="005A1349">
        <w:rPr>
          <w:rFonts w:ascii="Calibri" w:hAnsi="Calibri" w:cs="Calibri"/>
          <w:sz w:val="22"/>
          <w:szCs w:val="22"/>
        </w:rPr>
        <w:t xml:space="preserve">  Department continues to engage </w:t>
      </w:r>
      <w:r w:rsidR="00567325" w:rsidRPr="005A1349">
        <w:rPr>
          <w:rFonts w:ascii="Calibri" w:hAnsi="Calibri" w:cs="Calibri"/>
          <w:sz w:val="22"/>
          <w:szCs w:val="22"/>
        </w:rPr>
        <w:t xml:space="preserve">closely </w:t>
      </w:r>
      <w:r w:rsidR="0025394E" w:rsidRPr="005A1349">
        <w:rPr>
          <w:rFonts w:ascii="Calibri" w:hAnsi="Calibri" w:cs="Calibri"/>
          <w:sz w:val="22"/>
          <w:szCs w:val="22"/>
        </w:rPr>
        <w:t>with the Office of Parliamentary Counsel to finalise the transposition</w:t>
      </w:r>
      <w:r w:rsidR="00567325" w:rsidRPr="005A1349">
        <w:rPr>
          <w:rFonts w:ascii="Calibri" w:hAnsi="Calibri" w:cs="Calibri"/>
          <w:sz w:val="22"/>
          <w:szCs w:val="22"/>
        </w:rPr>
        <w:t xml:space="preserve"> and it is hoped that matters can be concluded speedily.</w:t>
      </w:r>
      <w:r w:rsidR="0025394E" w:rsidRPr="005A1349">
        <w:rPr>
          <w:rFonts w:ascii="Calibri" w:hAnsi="Calibri" w:cs="Calibri"/>
          <w:sz w:val="22"/>
          <w:szCs w:val="22"/>
        </w:rPr>
        <w:t xml:space="preserve"> </w:t>
      </w:r>
      <w:r w:rsidR="00567325" w:rsidRPr="005A1349">
        <w:rPr>
          <w:rFonts w:ascii="Calibri" w:hAnsi="Calibri" w:cs="Calibri"/>
          <w:sz w:val="22"/>
          <w:szCs w:val="22"/>
        </w:rPr>
        <w:t xml:space="preserve"> </w:t>
      </w:r>
    </w:p>
    <w:p w:rsidR="00AF0134" w:rsidRPr="005A1349" w:rsidRDefault="00AF0134" w:rsidP="00AF0134">
      <w:pPr>
        <w:rPr>
          <w:rFonts w:asciiTheme="minorHAnsi" w:hAnsiTheme="minorHAnsi" w:cstheme="minorHAnsi"/>
          <w:sz w:val="22"/>
          <w:szCs w:val="22"/>
        </w:rPr>
      </w:pPr>
    </w:p>
    <w:p w:rsidR="00AF0134" w:rsidRPr="005A1349" w:rsidRDefault="00AF0134" w:rsidP="00AF0134">
      <w:pPr>
        <w:rPr>
          <w:rFonts w:asciiTheme="minorHAnsi" w:hAnsiTheme="minorHAnsi" w:cstheme="minorHAnsi"/>
          <w:sz w:val="22"/>
          <w:szCs w:val="22"/>
        </w:rPr>
      </w:pPr>
      <w:r w:rsidRPr="005A1349">
        <w:rPr>
          <w:rFonts w:asciiTheme="minorHAnsi" w:hAnsiTheme="minorHAnsi" w:cstheme="minorHAnsi"/>
          <w:sz w:val="22"/>
          <w:szCs w:val="22"/>
        </w:rPr>
        <w:t xml:space="preserve">Any questions or queries in relation to proposed legislation or European proposals can be emailed to </w:t>
      </w:r>
      <w:hyperlink r:id="rId10" w:history="1">
        <w:r w:rsidRPr="005A1349">
          <w:rPr>
            <w:rStyle w:val="Hyperlink"/>
            <w:rFonts w:asciiTheme="minorHAnsi" w:hAnsiTheme="minorHAnsi" w:cstheme="minorHAnsi"/>
            <w:color w:val="auto"/>
            <w:sz w:val="22"/>
            <w:szCs w:val="22"/>
          </w:rPr>
          <w:t>clrg@dbei.gov.ie</w:t>
        </w:r>
      </w:hyperlink>
      <w:r w:rsidRPr="005A1349">
        <w:rPr>
          <w:rFonts w:asciiTheme="minorHAnsi" w:hAnsiTheme="minorHAnsi" w:cstheme="minorHAnsi"/>
          <w:sz w:val="22"/>
          <w:szCs w:val="22"/>
        </w:rPr>
        <w:t>.</w:t>
      </w:r>
    </w:p>
    <w:p w:rsidR="000D68BF" w:rsidRPr="00567325" w:rsidRDefault="000D68BF" w:rsidP="00554654">
      <w:pPr>
        <w:pStyle w:val="ListParagraph"/>
        <w:numPr>
          <w:ilvl w:val="6"/>
          <w:numId w:val="2"/>
        </w:numPr>
        <w:rPr>
          <w:color w:val="FF0000"/>
        </w:rPr>
      </w:pPr>
    </w:p>
    <w:p w:rsidR="00717E57" w:rsidRPr="00A85AF3" w:rsidRDefault="00717E57" w:rsidP="00A85AF3">
      <w:pPr>
        <w:spacing w:line="271" w:lineRule="auto"/>
        <w:rPr>
          <w:rFonts w:ascii="Calibri" w:hAnsi="Calibri" w:cs="Calibri"/>
          <w:sz w:val="22"/>
          <w:szCs w:val="22"/>
        </w:rPr>
      </w:pPr>
    </w:p>
    <w:p w:rsidR="000B67E7" w:rsidRPr="007434A9" w:rsidRDefault="006C3150" w:rsidP="006C3150">
      <w:pPr>
        <w:pStyle w:val="BodyTextIndent2"/>
        <w:numPr>
          <w:ilvl w:val="0"/>
          <w:numId w:val="2"/>
        </w:numPr>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7434A9">
        <w:rPr>
          <w:rFonts w:ascii="Calibri" w:hAnsi="Calibri"/>
          <w:b/>
          <w:sz w:val="22"/>
          <w:szCs w:val="22"/>
        </w:rPr>
        <w:t>Pending Bills</w:t>
      </w:r>
    </w:p>
    <w:p w:rsidR="006C3150" w:rsidRDefault="006C3150" w:rsidP="006C3150">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7434A9" w:rsidRDefault="0005762E" w:rsidP="0005762E">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sz w:val="22"/>
          <w:szCs w:val="22"/>
        </w:rPr>
      </w:pPr>
      <w:r>
        <w:rPr>
          <w:rFonts w:ascii="Calibri" w:hAnsi="Calibri"/>
          <w:sz w:val="22"/>
          <w:szCs w:val="22"/>
        </w:rPr>
        <w:t>Ms. Helen Curley</w:t>
      </w:r>
      <w:r w:rsidR="00C30032">
        <w:rPr>
          <w:rFonts w:ascii="Calibri" w:hAnsi="Calibri"/>
          <w:sz w:val="22"/>
          <w:szCs w:val="22"/>
        </w:rPr>
        <w:t xml:space="preserve"> </w:t>
      </w:r>
      <w:r>
        <w:rPr>
          <w:rFonts w:ascii="Calibri" w:hAnsi="Calibri"/>
          <w:sz w:val="22"/>
          <w:szCs w:val="22"/>
        </w:rPr>
        <w:t xml:space="preserve">gave the following overview of pending bills- </w:t>
      </w:r>
    </w:p>
    <w:p w:rsidR="0005762E" w:rsidRPr="0005762E" w:rsidRDefault="0005762E" w:rsidP="0005762E">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sz w:val="22"/>
          <w:szCs w:val="22"/>
        </w:rPr>
      </w:pPr>
    </w:p>
    <w:p w:rsidR="007434A9" w:rsidRDefault="007434A9" w:rsidP="007434A9">
      <w:pPr>
        <w:rPr>
          <w:rFonts w:asciiTheme="minorHAnsi" w:hAnsiTheme="minorHAnsi" w:cstheme="minorHAnsi"/>
          <w:b/>
          <w:sz w:val="22"/>
          <w:szCs w:val="22"/>
        </w:rPr>
      </w:pPr>
      <w:r w:rsidRPr="00192FFB">
        <w:rPr>
          <w:rFonts w:asciiTheme="minorHAnsi" w:hAnsiTheme="minorHAnsi" w:cstheme="minorHAnsi"/>
          <w:b/>
          <w:sz w:val="22"/>
          <w:szCs w:val="22"/>
        </w:rPr>
        <w:t xml:space="preserve">Companies (Corporate Enforcement Authority) Bill </w:t>
      </w:r>
    </w:p>
    <w:p w:rsidR="001230F1" w:rsidRDefault="001230F1" w:rsidP="007434A9">
      <w:pPr>
        <w:rPr>
          <w:rFonts w:ascii="Calibri" w:hAnsi="Calibri"/>
          <w:sz w:val="22"/>
          <w:szCs w:val="22"/>
        </w:rPr>
      </w:pPr>
    </w:p>
    <w:p w:rsidR="00973645" w:rsidRPr="00973645" w:rsidRDefault="00973645" w:rsidP="00973645">
      <w:pPr>
        <w:spacing w:line="276" w:lineRule="auto"/>
        <w:rPr>
          <w:rFonts w:asciiTheme="minorHAnsi" w:hAnsiTheme="minorHAnsi" w:cstheme="minorHAnsi"/>
          <w:sz w:val="22"/>
          <w:szCs w:val="22"/>
        </w:rPr>
      </w:pPr>
      <w:r w:rsidRPr="00973645">
        <w:rPr>
          <w:rFonts w:asciiTheme="minorHAnsi" w:hAnsiTheme="minorHAnsi" w:cstheme="minorHAnsi"/>
          <w:sz w:val="22"/>
          <w:szCs w:val="22"/>
        </w:rPr>
        <w:t>The General Scheme of this Bill was approved by Government and published on 4</w:t>
      </w:r>
      <w:r w:rsidRPr="00973645">
        <w:rPr>
          <w:rFonts w:asciiTheme="minorHAnsi" w:hAnsiTheme="minorHAnsi" w:cstheme="minorHAnsi"/>
          <w:sz w:val="22"/>
          <w:szCs w:val="22"/>
          <w:vertAlign w:val="superscript"/>
        </w:rPr>
        <w:t>th</w:t>
      </w:r>
      <w:r w:rsidRPr="00973645">
        <w:rPr>
          <w:rFonts w:asciiTheme="minorHAnsi" w:hAnsiTheme="minorHAnsi" w:cstheme="minorHAnsi"/>
          <w:sz w:val="22"/>
          <w:szCs w:val="22"/>
        </w:rPr>
        <w:t xml:space="preserve"> December 2018. The main features of the Bill were agreed as part of the Government’s decision to adopt its package of ‘Measures to Enhance Ireland’s Corporate, Economic and Regulatory Framework’ (subtitled ‘Ireland combating “white collar crime”) (published November 2017).</w:t>
      </w:r>
    </w:p>
    <w:p w:rsidR="00973645" w:rsidRPr="00973645" w:rsidRDefault="00973645" w:rsidP="00973645">
      <w:pPr>
        <w:spacing w:line="276" w:lineRule="auto"/>
        <w:rPr>
          <w:rFonts w:asciiTheme="minorHAnsi" w:hAnsiTheme="minorHAnsi" w:cstheme="minorHAnsi"/>
          <w:sz w:val="22"/>
          <w:szCs w:val="22"/>
        </w:rPr>
      </w:pPr>
    </w:p>
    <w:p w:rsidR="00973645" w:rsidRPr="00973645" w:rsidRDefault="00973645" w:rsidP="00973645">
      <w:pPr>
        <w:spacing w:line="276" w:lineRule="auto"/>
        <w:rPr>
          <w:rFonts w:asciiTheme="minorHAnsi" w:hAnsiTheme="minorHAnsi" w:cstheme="minorHAnsi"/>
          <w:sz w:val="22"/>
          <w:szCs w:val="22"/>
        </w:rPr>
      </w:pPr>
      <w:r w:rsidRPr="00973645">
        <w:rPr>
          <w:rFonts w:asciiTheme="minorHAnsi" w:hAnsiTheme="minorHAnsi" w:cstheme="minorHAnsi"/>
          <w:sz w:val="22"/>
          <w:szCs w:val="22"/>
        </w:rPr>
        <w:t>The General Scheme provides for the establishment of The Corporate Enforcement Authority with all the same functions and powers that the Director of Corporate Enforcement has with some modifications to reflect a new commission structure. Head 9 (Membership of the Authority) provides for up to 3 full time Commissioners and is designed to give the Authority the flexibility to structure itself to meet the differing demands of its remit, which includes investigation, prosecution, supervision, and advocacy, and along clear lines of responsibility. Head 11 (Staff of the Authority) gives the Authority the ability to appoint its own staff. The General Scheme also provides for new investigative tools, notably new search and entry powers to enhance the Authority’s ability to gather evidence that is help electronically.  Parts 3, 4 and 5 make amendments to the Companies Act 2014 to give effect to certain recommendations of the CLRG in relation to share capital, corporate governance and unsecured creditors.</w:t>
      </w:r>
    </w:p>
    <w:p w:rsidR="00973645" w:rsidRPr="00973645" w:rsidRDefault="00973645" w:rsidP="00973645">
      <w:pPr>
        <w:spacing w:line="276" w:lineRule="auto"/>
        <w:rPr>
          <w:rFonts w:asciiTheme="minorHAnsi" w:hAnsiTheme="minorHAnsi" w:cstheme="minorHAnsi"/>
          <w:sz w:val="22"/>
          <w:szCs w:val="22"/>
        </w:rPr>
      </w:pPr>
    </w:p>
    <w:p w:rsidR="00973645" w:rsidRPr="00973645" w:rsidRDefault="00973645" w:rsidP="00973645">
      <w:pPr>
        <w:spacing w:line="276" w:lineRule="auto"/>
        <w:rPr>
          <w:rFonts w:asciiTheme="minorHAnsi" w:hAnsiTheme="minorHAnsi" w:cstheme="minorHAnsi"/>
          <w:sz w:val="22"/>
          <w:szCs w:val="22"/>
        </w:rPr>
      </w:pPr>
      <w:r w:rsidRPr="00973645">
        <w:rPr>
          <w:rFonts w:asciiTheme="minorHAnsi" w:hAnsiTheme="minorHAnsi" w:cstheme="minorHAnsi"/>
          <w:sz w:val="22"/>
          <w:szCs w:val="22"/>
        </w:rPr>
        <w:t>The Joint Oireachtas Committee on Business, Enterprise and Innovation is currently undertaking Pre-Legislative Scrutiny on the Bill and officials from the Department briefed the Committee on the 5</w:t>
      </w:r>
      <w:r w:rsidRPr="00973645">
        <w:rPr>
          <w:rFonts w:asciiTheme="minorHAnsi" w:hAnsiTheme="minorHAnsi" w:cstheme="minorHAnsi"/>
          <w:sz w:val="22"/>
          <w:szCs w:val="22"/>
          <w:vertAlign w:val="superscript"/>
        </w:rPr>
        <w:t>th</w:t>
      </w:r>
      <w:r w:rsidRPr="00973645">
        <w:rPr>
          <w:rFonts w:asciiTheme="minorHAnsi" w:hAnsiTheme="minorHAnsi" w:cstheme="minorHAnsi"/>
          <w:sz w:val="22"/>
          <w:szCs w:val="22"/>
        </w:rPr>
        <w:t xml:space="preserve"> February 2019. The Director of Corporate Enforcement appeared </w:t>
      </w:r>
      <w:r w:rsidRPr="00973645">
        <w:rPr>
          <w:rFonts w:asciiTheme="minorHAnsi" w:hAnsiTheme="minorHAnsi" w:cstheme="minorHAnsi"/>
          <w:sz w:val="22"/>
          <w:szCs w:val="22"/>
        </w:rPr>
        <w:lastRenderedPageBreak/>
        <w:t>before the Committee on the 19</w:t>
      </w:r>
      <w:r w:rsidRPr="00973645">
        <w:rPr>
          <w:rFonts w:asciiTheme="minorHAnsi" w:hAnsiTheme="minorHAnsi" w:cstheme="minorHAnsi"/>
          <w:sz w:val="22"/>
          <w:szCs w:val="22"/>
          <w:vertAlign w:val="superscript"/>
        </w:rPr>
        <w:t>th</w:t>
      </w:r>
      <w:r w:rsidRPr="00973645">
        <w:rPr>
          <w:rFonts w:asciiTheme="minorHAnsi" w:hAnsiTheme="minorHAnsi" w:cstheme="minorHAnsi"/>
          <w:sz w:val="22"/>
          <w:szCs w:val="22"/>
        </w:rPr>
        <w:t xml:space="preserve"> February 2019. The Chair of the CLRG and Vincent Madigan appeared before the Committee on the 2</w:t>
      </w:r>
      <w:r w:rsidRPr="00973645">
        <w:rPr>
          <w:rFonts w:asciiTheme="minorHAnsi" w:hAnsiTheme="minorHAnsi" w:cstheme="minorHAnsi"/>
          <w:sz w:val="22"/>
          <w:szCs w:val="22"/>
          <w:vertAlign w:val="superscript"/>
        </w:rPr>
        <w:t>nd</w:t>
      </w:r>
      <w:r w:rsidRPr="00973645">
        <w:rPr>
          <w:rFonts w:asciiTheme="minorHAnsi" w:hAnsiTheme="minorHAnsi" w:cstheme="minorHAnsi"/>
          <w:sz w:val="22"/>
          <w:szCs w:val="22"/>
        </w:rPr>
        <w:t xml:space="preserve"> April 2019 as did representatives from the Law Reform Commission. A date for the Minister’s appearance has still to be confirmed. The Joint Committee decided to seek the Director’s views in relation to the use by it of the power of direction pursuant to section 83 of the Houses of the Oireachtas (Inquiries, Privileges and Procedures) Act 2013 to compel him to provide it with a submission relating to the Fitzpatrick trial, and wrote to him accordingly in April. The Director responded that </w:t>
      </w:r>
      <w:proofErr w:type="gramStart"/>
      <w:r w:rsidRPr="00973645">
        <w:rPr>
          <w:rFonts w:asciiTheme="minorHAnsi" w:hAnsiTheme="minorHAnsi" w:cstheme="minorHAnsi"/>
          <w:sz w:val="22"/>
          <w:szCs w:val="22"/>
        </w:rPr>
        <w:t>in light of</w:t>
      </w:r>
      <w:proofErr w:type="gramEnd"/>
      <w:r w:rsidRPr="00973645">
        <w:rPr>
          <w:rFonts w:asciiTheme="minorHAnsi" w:hAnsiTheme="minorHAnsi" w:cstheme="minorHAnsi"/>
          <w:sz w:val="22"/>
          <w:szCs w:val="22"/>
        </w:rPr>
        <w:t xml:space="preserve"> the protections afforded under the 2013 Act, the Joint Committee would receive his full co-operation if it issued him with a direction to provide the submission. The Joint Committee has stated that it would proceed with seeking the necessary approvals. The outcome of this is awaited. </w:t>
      </w:r>
    </w:p>
    <w:p w:rsidR="00973645" w:rsidRPr="00973645" w:rsidRDefault="00973645" w:rsidP="00973645">
      <w:pPr>
        <w:spacing w:line="276" w:lineRule="auto"/>
        <w:rPr>
          <w:rFonts w:asciiTheme="minorHAnsi" w:hAnsiTheme="minorHAnsi" w:cstheme="minorHAnsi"/>
          <w:sz w:val="22"/>
          <w:szCs w:val="22"/>
        </w:rPr>
      </w:pPr>
    </w:p>
    <w:p w:rsidR="00973645" w:rsidRPr="00973645" w:rsidRDefault="00973645" w:rsidP="00973645">
      <w:pPr>
        <w:spacing w:line="276" w:lineRule="auto"/>
        <w:rPr>
          <w:rFonts w:asciiTheme="minorHAnsi" w:hAnsiTheme="minorHAnsi" w:cstheme="minorHAnsi"/>
          <w:sz w:val="22"/>
          <w:szCs w:val="22"/>
        </w:rPr>
      </w:pPr>
      <w:r w:rsidRPr="00973645">
        <w:rPr>
          <w:rFonts w:asciiTheme="minorHAnsi" w:hAnsiTheme="minorHAnsi" w:cstheme="minorHAnsi"/>
          <w:sz w:val="22"/>
          <w:szCs w:val="22"/>
        </w:rPr>
        <w:t>A drafter from the Office of the Parliamentary Counsel has been assigned and has worked with the Department to complete a draft of the Bill for publication. Publication of which will depend on the outcome of pre-legislative scrutiny.</w:t>
      </w:r>
    </w:p>
    <w:p w:rsidR="000B67E7" w:rsidRDefault="000B67E7"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7434A9" w:rsidRDefault="007434A9"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7434A9">
        <w:rPr>
          <w:rFonts w:ascii="Calibri" w:hAnsi="Calibri"/>
          <w:b/>
          <w:sz w:val="22"/>
          <w:szCs w:val="22"/>
        </w:rPr>
        <w:t>Tax Appeals and Prospectus Regulation Bill 2019</w:t>
      </w:r>
    </w:p>
    <w:p w:rsidR="00C3361F" w:rsidRDefault="00C3361F"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p>
    <w:p w:rsidR="00D83378" w:rsidRPr="00973645" w:rsidRDefault="00C3361F"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73645">
        <w:rPr>
          <w:rFonts w:ascii="Calibri" w:hAnsi="Calibri"/>
          <w:sz w:val="22"/>
          <w:szCs w:val="22"/>
        </w:rPr>
        <w:t xml:space="preserve">The Prospectus Regulation (EU) 2017/1129 harmonises requirements for the drafting, </w:t>
      </w:r>
    </w:p>
    <w:p w:rsidR="00973645" w:rsidRPr="00973645" w:rsidRDefault="00C3361F"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73645">
        <w:rPr>
          <w:rFonts w:ascii="Calibri" w:hAnsi="Calibri"/>
          <w:sz w:val="22"/>
          <w:szCs w:val="22"/>
        </w:rPr>
        <w:t xml:space="preserve">approval and distribution of the prospectus to be published when securities are offered to </w:t>
      </w:r>
    </w:p>
    <w:p w:rsidR="00C3361F" w:rsidRPr="00973645" w:rsidRDefault="00C3361F"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73645">
        <w:rPr>
          <w:rFonts w:ascii="Calibri" w:hAnsi="Calibri"/>
          <w:sz w:val="22"/>
          <w:szCs w:val="22"/>
        </w:rPr>
        <w:t>the public or admitted to trading on</w:t>
      </w:r>
      <w:r w:rsidR="00973645" w:rsidRPr="00973645">
        <w:rPr>
          <w:rFonts w:ascii="Calibri" w:hAnsi="Calibri"/>
          <w:sz w:val="22"/>
          <w:szCs w:val="22"/>
        </w:rPr>
        <w:t xml:space="preserve"> a regulated market in a Member State.</w:t>
      </w:r>
    </w:p>
    <w:p w:rsidR="00973645" w:rsidRPr="00973645" w:rsidRDefault="00973645"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973645" w:rsidRPr="00973645" w:rsidRDefault="00973645"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73645">
        <w:rPr>
          <w:rFonts w:ascii="Calibri" w:hAnsi="Calibri"/>
          <w:sz w:val="22"/>
          <w:szCs w:val="22"/>
        </w:rPr>
        <w:t xml:space="preserve">While EU regulations have direct effect, some elements can require EU Member States to </w:t>
      </w:r>
    </w:p>
    <w:p w:rsidR="00973645" w:rsidRPr="00973645" w:rsidRDefault="00973645"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73645">
        <w:rPr>
          <w:rFonts w:ascii="Calibri" w:hAnsi="Calibri"/>
          <w:sz w:val="22"/>
          <w:szCs w:val="22"/>
        </w:rPr>
        <w:t xml:space="preserve">make domestic legislative provisions. In this regard, the Prospectus Regulation was part </w:t>
      </w:r>
    </w:p>
    <w:p w:rsidR="00973645" w:rsidRPr="00973645" w:rsidRDefault="00973645"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73645">
        <w:rPr>
          <w:rFonts w:ascii="Calibri" w:hAnsi="Calibri"/>
          <w:sz w:val="22"/>
          <w:szCs w:val="22"/>
        </w:rPr>
        <w:t xml:space="preserve">transposed into Irish law via the European Union (Prospectus) Regulations 2019, S.I. 380, </w:t>
      </w:r>
    </w:p>
    <w:p w:rsidR="00973645" w:rsidRPr="00973645" w:rsidRDefault="00973645"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73645">
        <w:rPr>
          <w:rFonts w:ascii="Calibri" w:hAnsi="Calibri"/>
          <w:sz w:val="22"/>
          <w:szCs w:val="22"/>
        </w:rPr>
        <w:t>on 19</w:t>
      </w:r>
      <w:r w:rsidRPr="00973645">
        <w:rPr>
          <w:rFonts w:ascii="Calibri" w:hAnsi="Calibri"/>
          <w:sz w:val="22"/>
          <w:szCs w:val="22"/>
          <w:vertAlign w:val="superscript"/>
        </w:rPr>
        <w:t>th</w:t>
      </w:r>
      <w:r w:rsidRPr="00973645">
        <w:rPr>
          <w:rFonts w:ascii="Calibri" w:hAnsi="Calibri"/>
          <w:sz w:val="22"/>
          <w:szCs w:val="22"/>
        </w:rPr>
        <w:t xml:space="preserve"> July.</w:t>
      </w:r>
    </w:p>
    <w:p w:rsidR="00AE1645" w:rsidRDefault="00AE1645"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BC35D1" w:rsidRDefault="00973645" w:rsidP="00BC35D1">
      <w:pPr>
        <w:spacing w:after="150"/>
        <w:rPr>
          <w:rFonts w:ascii="Calibri" w:hAnsi="Calibri" w:cs="Calibri"/>
          <w:sz w:val="22"/>
          <w:szCs w:val="22"/>
          <w:lang w:eastAsia="en-IE"/>
        </w:rPr>
      </w:pPr>
      <w:proofErr w:type="gramStart"/>
      <w:r w:rsidRPr="00973645">
        <w:rPr>
          <w:rFonts w:ascii="Calibri" w:hAnsi="Calibri" w:cs="Calibri"/>
          <w:sz w:val="22"/>
          <w:szCs w:val="22"/>
          <w:lang w:eastAsia="en-IE"/>
        </w:rPr>
        <w:t>A number of</w:t>
      </w:r>
      <w:proofErr w:type="gramEnd"/>
      <w:r w:rsidRPr="00973645">
        <w:rPr>
          <w:rFonts w:ascii="Calibri" w:hAnsi="Calibri" w:cs="Calibri"/>
          <w:sz w:val="22"/>
          <w:szCs w:val="22"/>
          <w:lang w:eastAsia="en-IE"/>
        </w:rPr>
        <w:t xml:space="preserve"> national measures have been introduced or are in the pipeline in order to situate the Prospectus Regulation rules within the Irish legal and regulatory landscape:</w:t>
      </w:r>
    </w:p>
    <w:p w:rsidR="00BC35D1" w:rsidRDefault="00973645" w:rsidP="00BC35D1">
      <w:pPr>
        <w:pStyle w:val="ListParagraph"/>
        <w:numPr>
          <w:ilvl w:val="0"/>
          <w:numId w:val="27"/>
        </w:numPr>
        <w:spacing w:before="100" w:beforeAutospacing="1" w:after="100" w:afterAutospacing="1"/>
        <w:rPr>
          <w:rFonts w:cs="Calibri"/>
          <w:lang w:eastAsia="en-IE"/>
        </w:rPr>
      </w:pPr>
      <w:r w:rsidRPr="00BC35D1">
        <w:rPr>
          <w:rFonts w:cs="Calibri"/>
          <w:lang w:eastAsia="en-IE"/>
        </w:rPr>
        <w:t xml:space="preserve">The Minister for Finance has commenced the </w:t>
      </w:r>
      <w:hyperlink r:id="rId11" w:history="1">
        <w:r w:rsidRPr="00BC35D1">
          <w:rPr>
            <w:rFonts w:cs="Calibri"/>
            <w:lang w:eastAsia="en-IE"/>
          </w:rPr>
          <w:t>European Union (Prospectus) Regulations 2019 (SI 380/2019)</w:t>
        </w:r>
      </w:hyperlink>
      <w:r w:rsidRPr="00BC35D1">
        <w:rPr>
          <w:rFonts w:cs="Calibri"/>
          <w:lang w:eastAsia="en-IE"/>
        </w:rPr>
        <w:t>, which replace the preceding prospectus regulations issued under the PD regime. These regulations deal with those matters left to the discretion of member states, such as the powers of the Central Bank as the national competent authority, enforcement and fees.  </w:t>
      </w:r>
    </w:p>
    <w:p w:rsidR="00BC35D1" w:rsidRPr="00BC35D1" w:rsidRDefault="00BC35D1" w:rsidP="00BC35D1">
      <w:pPr>
        <w:pStyle w:val="ListParagraph"/>
        <w:spacing w:before="100" w:beforeAutospacing="1" w:after="100" w:afterAutospacing="1"/>
        <w:rPr>
          <w:rFonts w:cs="Calibri"/>
          <w:lang w:eastAsia="en-IE"/>
        </w:rPr>
      </w:pPr>
    </w:p>
    <w:p w:rsidR="00BC35D1" w:rsidRPr="00BC35D1" w:rsidRDefault="00973645" w:rsidP="00BC35D1">
      <w:pPr>
        <w:pStyle w:val="ListParagraph"/>
        <w:numPr>
          <w:ilvl w:val="0"/>
          <w:numId w:val="27"/>
        </w:numPr>
        <w:spacing w:before="100" w:beforeAutospacing="1" w:after="100" w:afterAutospacing="1"/>
        <w:rPr>
          <w:rFonts w:cs="Calibri"/>
          <w:lang w:eastAsia="en-IE"/>
        </w:rPr>
      </w:pPr>
      <w:r w:rsidRPr="00BC35D1">
        <w:rPr>
          <w:rFonts w:cs="Calibri"/>
          <w:lang w:eastAsia="en-IE"/>
        </w:rPr>
        <w:t xml:space="preserve">The Central Bank, as the regulator for securities markets in Ireland, has also issued updated the preceding Prospectus Rules, along with the Transparency Rules and Market Abuse Rules, and consolidated all of its primary market requirements in the </w:t>
      </w:r>
      <w:hyperlink r:id="rId12" w:history="1">
        <w:r w:rsidRPr="00BC35D1">
          <w:rPr>
            <w:rFonts w:cs="Calibri"/>
            <w:lang w:eastAsia="en-IE"/>
          </w:rPr>
          <w:t>Central Bank (Investment Market Conduct) Rules (SI No 366 of 2019)</w:t>
        </w:r>
      </w:hyperlink>
      <w:r w:rsidRPr="00BC35D1">
        <w:rPr>
          <w:rFonts w:cs="Calibri"/>
          <w:lang w:eastAsia="en-IE"/>
        </w:rPr>
        <w:t xml:space="preserve"> and has published updated </w:t>
      </w:r>
      <w:hyperlink r:id="rId13" w:history="1">
        <w:r w:rsidRPr="00BC35D1">
          <w:rPr>
            <w:rFonts w:cs="Calibri"/>
            <w:lang w:eastAsia="en-IE"/>
          </w:rPr>
          <w:t>Guidance on Prospectus Regulatory Framework</w:t>
        </w:r>
      </w:hyperlink>
      <w:r w:rsidRPr="00BC35D1">
        <w:rPr>
          <w:rFonts w:cs="Calibri"/>
          <w:lang w:eastAsia="en-IE"/>
        </w:rPr>
        <w:t>.</w:t>
      </w:r>
    </w:p>
    <w:p w:rsidR="00BC35D1" w:rsidRPr="00BC35D1" w:rsidRDefault="00BC35D1" w:rsidP="00BC35D1">
      <w:pPr>
        <w:pStyle w:val="ListParagraph"/>
        <w:spacing w:before="100" w:beforeAutospacing="1" w:after="100" w:afterAutospacing="1"/>
        <w:rPr>
          <w:rFonts w:cs="Calibri"/>
          <w:lang w:eastAsia="en-IE"/>
        </w:rPr>
      </w:pPr>
    </w:p>
    <w:p w:rsidR="00C3361F" w:rsidRPr="00BC35D1" w:rsidRDefault="00973645" w:rsidP="00BC35D1">
      <w:pPr>
        <w:pStyle w:val="ListParagraph"/>
        <w:numPr>
          <w:ilvl w:val="0"/>
          <w:numId w:val="27"/>
        </w:numPr>
        <w:spacing w:before="100" w:beforeAutospacing="1" w:after="100" w:afterAutospacing="1"/>
        <w:rPr>
          <w:rFonts w:cs="Calibri"/>
          <w:lang w:eastAsia="en-IE"/>
        </w:rPr>
      </w:pPr>
      <w:r w:rsidRPr="00BC35D1">
        <w:rPr>
          <w:rFonts w:cs="Calibri"/>
          <w:lang w:eastAsia="en-IE"/>
        </w:rPr>
        <w:t xml:space="preserve">Finally, the </w:t>
      </w:r>
      <w:hyperlink r:id="rId14" w:history="1">
        <w:r w:rsidRPr="00BC35D1">
          <w:rPr>
            <w:rFonts w:cs="Calibri"/>
            <w:lang w:eastAsia="en-IE"/>
          </w:rPr>
          <w:t>Finance (Tax Appeals and Prospectus Regulation) Bill 2019</w:t>
        </w:r>
      </w:hyperlink>
      <w:r w:rsidRPr="00BC35D1">
        <w:rPr>
          <w:rFonts w:cs="Calibri"/>
          <w:lang w:eastAsia="en-IE"/>
        </w:rPr>
        <w:t xml:space="preserve"> is currently being considered by the Houses of the Oireachtas. The bill proposes to update references to the PD regime in the Companies Act 2014 and align them with the </w:t>
      </w:r>
      <w:r w:rsidRPr="00BC35D1">
        <w:rPr>
          <w:rFonts w:cs="Calibri"/>
          <w:lang w:eastAsia="en-IE"/>
        </w:rPr>
        <w:lastRenderedPageBreak/>
        <w:t>Prospectus Regulation. It would also transpose Article 11 of the Prospectus Regulation which restricts civil liability in certain circumstances in the security offering, and increase the local offer threshold, currently €5 million, which would exempt offers of securities up to a total consideration of €8 million from the requirement to publish a prospectus.</w:t>
      </w:r>
    </w:p>
    <w:p w:rsidR="00C3361F" w:rsidRDefault="00C3361F"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AE1645" w:rsidRPr="006E5413" w:rsidRDefault="00AE1645" w:rsidP="00542638">
      <w:pPr>
        <w:pStyle w:val="BodyTextIndent2"/>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6E5413">
        <w:rPr>
          <w:rFonts w:ascii="Calibri" w:hAnsi="Calibri"/>
          <w:b/>
          <w:sz w:val="22"/>
          <w:szCs w:val="22"/>
        </w:rPr>
        <w:t xml:space="preserve">General Scheme of the </w:t>
      </w:r>
      <w:r w:rsidR="006E5413" w:rsidRPr="006E5413">
        <w:rPr>
          <w:rFonts w:ascii="Calibri" w:hAnsi="Calibri"/>
          <w:b/>
          <w:sz w:val="22"/>
          <w:szCs w:val="22"/>
        </w:rPr>
        <w:t>Migration of Participating Securities Bill 2019</w:t>
      </w:r>
    </w:p>
    <w:p w:rsidR="006E5413" w:rsidRPr="006E5413" w:rsidRDefault="006E5413" w:rsidP="006E5413">
      <w:pPr>
        <w:pStyle w:val="NormalWeb"/>
        <w:rPr>
          <w:rFonts w:asciiTheme="minorHAnsi" w:hAnsiTheme="minorHAnsi" w:cstheme="minorHAnsi"/>
          <w:color w:val="222222"/>
          <w:sz w:val="22"/>
          <w:szCs w:val="22"/>
        </w:rPr>
      </w:pPr>
      <w:r w:rsidRPr="006E5413">
        <w:rPr>
          <w:rFonts w:asciiTheme="minorHAnsi" w:hAnsiTheme="minorHAnsi" w:cstheme="minorHAnsi"/>
          <w:color w:val="222222"/>
          <w:sz w:val="22"/>
          <w:szCs w:val="22"/>
        </w:rPr>
        <w:t>Minister for Finance and Public Expenditure and Reform, Paschal Donohoe and Minister for Business, Enterprise and Innovation, Heather Humphreys obtained Government agreement on 18</w:t>
      </w:r>
      <w:r w:rsidRPr="006E5413">
        <w:rPr>
          <w:rFonts w:asciiTheme="minorHAnsi" w:hAnsiTheme="minorHAnsi" w:cstheme="minorHAnsi"/>
          <w:color w:val="222222"/>
          <w:sz w:val="22"/>
          <w:szCs w:val="22"/>
          <w:vertAlign w:val="superscript"/>
        </w:rPr>
        <w:t>th</w:t>
      </w:r>
      <w:r w:rsidRPr="006E5413">
        <w:rPr>
          <w:rFonts w:asciiTheme="minorHAnsi" w:hAnsiTheme="minorHAnsi" w:cstheme="minorHAnsi"/>
          <w:color w:val="222222"/>
          <w:sz w:val="22"/>
          <w:szCs w:val="22"/>
        </w:rPr>
        <w:t xml:space="preserve"> July to draft legislation that could facilitate the longer</w:t>
      </w:r>
      <w:r w:rsidR="00C3361F">
        <w:rPr>
          <w:rFonts w:asciiTheme="minorHAnsi" w:hAnsiTheme="minorHAnsi" w:cstheme="minorHAnsi"/>
          <w:color w:val="222222"/>
          <w:sz w:val="22"/>
          <w:szCs w:val="22"/>
        </w:rPr>
        <w:t>-</w:t>
      </w:r>
      <w:r w:rsidRPr="006E5413">
        <w:rPr>
          <w:rFonts w:asciiTheme="minorHAnsi" w:hAnsiTheme="minorHAnsi" w:cstheme="minorHAnsi"/>
          <w:color w:val="222222"/>
          <w:sz w:val="22"/>
          <w:szCs w:val="22"/>
        </w:rPr>
        <w:t xml:space="preserve">term transition of the Irish securities market from its current settlement system based in London to the industry selected settlement system operated by Euroclear Bank, Belgium. The outline of the future Migration of Participating Securities Bill was published at a preliminary stage </w:t>
      </w:r>
      <w:proofErr w:type="gramStart"/>
      <w:r w:rsidRPr="006E5413">
        <w:rPr>
          <w:rFonts w:asciiTheme="minorHAnsi" w:hAnsiTheme="minorHAnsi" w:cstheme="minorHAnsi"/>
          <w:color w:val="222222"/>
          <w:sz w:val="22"/>
          <w:szCs w:val="22"/>
        </w:rPr>
        <w:t>so as to</w:t>
      </w:r>
      <w:proofErr w:type="gramEnd"/>
      <w:r w:rsidRPr="006E5413">
        <w:rPr>
          <w:rFonts w:asciiTheme="minorHAnsi" w:hAnsiTheme="minorHAnsi" w:cstheme="minorHAnsi"/>
          <w:color w:val="222222"/>
          <w:sz w:val="22"/>
          <w:szCs w:val="22"/>
        </w:rPr>
        <w:t xml:space="preserve"> facilitate market participants engagement in this complex process.</w:t>
      </w:r>
    </w:p>
    <w:p w:rsidR="006E5413" w:rsidRPr="006E5413" w:rsidRDefault="006E5413" w:rsidP="006E5413">
      <w:pPr>
        <w:pStyle w:val="text-18"/>
        <w:spacing w:after="300" w:afterAutospacing="0"/>
        <w:rPr>
          <w:rFonts w:asciiTheme="minorHAnsi" w:hAnsiTheme="minorHAnsi" w:cstheme="minorHAnsi"/>
          <w:color w:val="222222"/>
          <w:sz w:val="22"/>
          <w:szCs w:val="22"/>
        </w:rPr>
      </w:pPr>
      <w:r w:rsidRPr="006E5413">
        <w:rPr>
          <w:rFonts w:asciiTheme="minorHAnsi" w:hAnsiTheme="minorHAnsi" w:cstheme="minorHAnsi"/>
          <w:color w:val="222222"/>
          <w:sz w:val="22"/>
          <w:szCs w:val="22"/>
        </w:rPr>
        <w:t>This legislative measure is a part of the longer</w:t>
      </w:r>
      <w:r>
        <w:rPr>
          <w:rFonts w:asciiTheme="minorHAnsi" w:hAnsiTheme="minorHAnsi" w:cstheme="minorHAnsi"/>
          <w:color w:val="222222"/>
          <w:sz w:val="22"/>
          <w:szCs w:val="22"/>
        </w:rPr>
        <w:t>-</w:t>
      </w:r>
      <w:r w:rsidRPr="006E5413">
        <w:rPr>
          <w:rFonts w:asciiTheme="minorHAnsi" w:hAnsiTheme="minorHAnsi" w:cstheme="minorHAnsi"/>
          <w:color w:val="222222"/>
          <w:sz w:val="22"/>
          <w:szCs w:val="22"/>
        </w:rPr>
        <w:t xml:space="preserve">term response to the direct impact of the decision of the United Kingdom to leave the European Union. Brexit means that the Irish market will no longer be able to access the current UK settlement system called CREST. After considering </w:t>
      </w:r>
      <w:proofErr w:type="gramStart"/>
      <w:r w:rsidRPr="006E5413">
        <w:rPr>
          <w:rFonts w:asciiTheme="minorHAnsi" w:hAnsiTheme="minorHAnsi" w:cstheme="minorHAnsi"/>
          <w:color w:val="222222"/>
          <w:sz w:val="22"/>
          <w:szCs w:val="22"/>
        </w:rPr>
        <w:t>a number of</w:t>
      </w:r>
      <w:proofErr w:type="gramEnd"/>
      <w:r w:rsidRPr="006E5413">
        <w:rPr>
          <w:rFonts w:asciiTheme="minorHAnsi" w:hAnsiTheme="minorHAnsi" w:cstheme="minorHAnsi"/>
          <w:color w:val="222222"/>
          <w:sz w:val="22"/>
          <w:szCs w:val="22"/>
        </w:rPr>
        <w:t xml:space="preserve"> alternative options to replace CREST, the Irish market selected Euroclear Bank as its preferred long</w:t>
      </w:r>
      <w:r>
        <w:rPr>
          <w:rFonts w:asciiTheme="minorHAnsi" w:hAnsiTheme="minorHAnsi" w:cstheme="minorHAnsi"/>
          <w:color w:val="222222"/>
          <w:sz w:val="22"/>
          <w:szCs w:val="22"/>
        </w:rPr>
        <w:t>-</w:t>
      </w:r>
      <w:r w:rsidRPr="006E5413">
        <w:rPr>
          <w:rFonts w:asciiTheme="minorHAnsi" w:hAnsiTheme="minorHAnsi" w:cstheme="minorHAnsi"/>
          <w:color w:val="222222"/>
          <w:sz w:val="22"/>
          <w:szCs w:val="22"/>
        </w:rPr>
        <w:t>term settlement solution. The migration of securities from CREST to the new system must be completed and be fully operational by March 2021.</w:t>
      </w:r>
    </w:p>
    <w:p w:rsidR="006E5413" w:rsidRPr="006E5413" w:rsidRDefault="006E5413" w:rsidP="006E5413">
      <w:pPr>
        <w:pStyle w:val="text-18"/>
        <w:spacing w:after="300" w:afterAutospacing="0"/>
        <w:rPr>
          <w:rFonts w:asciiTheme="minorHAnsi" w:hAnsiTheme="minorHAnsi" w:cstheme="minorHAnsi"/>
          <w:color w:val="222222"/>
          <w:sz w:val="22"/>
          <w:szCs w:val="22"/>
        </w:rPr>
      </w:pPr>
      <w:r w:rsidRPr="006E5413">
        <w:rPr>
          <w:rFonts w:asciiTheme="minorHAnsi" w:hAnsiTheme="minorHAnsi" w:cstheme="minorHAnsi"/>
          <w:color w:val="222222"/>
          <w:sz w:val="22"/>
          <w:szCs w:val="22"/>
        </w:rPr>
        <w:t>In the event of a “Hard Brexit”, the European Commission has adopted a temporary and conditional equivalence decision for UK based Central Securities Depositories (CSDs). This equivalence decision for UK based CSDs expires at the end of March 2021.</w:t>
      </w:r>
    </w:p>
    <w:p w:rsidR="006E5413" w:rsidRPr="006E5413" w:rsidRDefault="006E5413" w:rsidP="006E5413">
      <w:pPr>
        <w:pStyle w:val="text-18"/>
        <w:spacing w:after="300" w:afterAutospacing="0"/>
        <w:rPr>
          <w:rFonts w:asciiTheme="minorHAnsi" w:hAnsiTheme="minorHAnsi" w:cstheme="minorHAnsi"/>
          <w:color w:val="222222"/>
          <w:sz w:val="22"/>
          <w:szCs w:val="22"/>
        </w:rPr>
      </w:pPr>
      <w:r w:rsidRPr="006E5413">
        <w:rPr>
          <w:rFonts w:asciiTheme="minorHAnsi" w:hAnsiTheme="minorHAnsi" w:cstheme="minorHAnsi"/>
          <w:color w:val="222222"/>
          <w:sz w:val="22"/>
          <w:szCs w:val="22"/>
        </w:rPr>
        <w:t>This equivalence decision along with the amendments to Ireland’s Settlement Finality Framework introduced in Part 7 of the Withdrawal of the United Kingdom from the European Union (Consequential Provisions) Act 2019, have resolved the short</w:t>
      </w:r>
      <w:r>
        <w:rPr>
          <w:rFonts w:asciiTheme="minorHAnsi" w:hAnsiTheme="minorHAnsi" w:cstheme="minorHAnsi"/>
          <w:color w:val="222222"/>
          <w:sz w:val="22"/>
          <w:szCs w:val="22"/>
        </w:rPr>
        <w:t>-</w:t>
      </w:r>
      <w:r w:rsidRPr="006E5413">
        <w:rPr>
          <w:rFonts w:asciiTheme="minorHAnsi" w:hAnsiTheme="minorHAnsi" w:cstheme="minorHAnsi"/>
          <w:color w:val="222222"/>
          <w:sz w:val="22"/>
          <w:szCs w:val="22"/>
        </w:rPr>
        <w:t>term implications for Irish equities and Exchanged Traded Funds (ETFs) listed on the Dublin and London stock markets in a “Hard Brexit” scenario. The proposed legislation seeks to support the Irish market as it moves to its longer-term solution of ensuring settlement continues within the EU as is required.</w:t>
      </w:r>
    </w:p>
    <w:p w:rsidR="004F5748" w:rsidRDefault="006E5413" w:rsidP="00C3361F">
      <w:pPr>
        <w:pStyle w:val="text-18"/>
        <w:spacing w:after="300" w:afterAutospacing="0"/>
        <w:rPr>
          <w:rFonts w:asciiTheme="minorHAnsi" w:hAnsiTheme="minorHAnsi" w:cstheme="minorHAnsi"/>
          <w:color w:val="222222"/>
          <w:sz w:val="22"/>
          <w:szCs w:val="22"/>
        </w:rPr>
      </w:pPr>
      <w:r w:rsidRPr="006E5413">
        <w:rPr>
          <w:rFonts w:asciiTheme="minorHAnsi" w:hAnsiTheme="minorHAnsi" w:cstheme="minorHAnsi"/>
          <w:color w:val="222222"/>
          <w:sz w:val="22"/>
          <w:szCs w:val="22"/>
        </w:rPr>
        <w:t>The Part 23 Committee wrote to the Michael McGrath, Secretary General of the Department of Finance, outlining its support for the General Scheme of the Bill. The Committee will generate feedback on the alternative system being proposed and consider any subsequent company law amendments which may be necessary</w:t>
      </w:r>
      <w:r w:rsidR="00C3361F">
        <w:rPr>
          <w:rFonts w:asciiTheme="minorHAnsi" w:hAnsiTheme="minorHAnsi" w:cstheme="minorHAnsi"/>
          <w:color w:val="222222"/>
          <w:sz w:val="22"/>
          <w:szCs w:val="22"/>
        </w:rPr>
        <w:t>.</w:t>
      </w:r>
    </w:p>
    <w:p w:rsidR="001B4A4A" w:rsidRPr="001B4A4A" w:rsidRDefault="001B4A4A" w:rsidP="001B4A4A">
      <w:pPr>
        <w:pStyle w:val="text-18"/>
        <w:numPr>
          <w:ilvl w:val="0"/>
          <w:numId w:val="2"/>
        </w:numPr>
        <w:spacing w:after="300" w:afterAutospacing="0"/>
        <w:rPr>
          <w:rFonts w:asciiTheme="minorHAnsi" w:hAnsiTheme="minorHAnsi" w:cstheme="minorHAnsi"/>
          <w:b/>
          <w:color w:val="222222"/>
          <w:sz w:val="22"/>
          <w:szCs w:val="22"/>
        </w:rPr>
      </w:pPr>
      <w:r w:rsidRPr="001B4A4A">
        <w:rPr>
          <w:rFonts w:asciiTheme="minorHAnsi" w:hAnsiTheme="minorHAnsi" w:cstheme="minorHAnsi"/>
          <w:b/>
          <w:color w:val="222222"/>
          <w:sz w:val="22"/>
          <w:szCs w:val="22"/>
        </w:rPr>
        <w:t>Part 23 Committee update</w:t>
      </w:r>
    </w:p>
    <w:p w:rsidR="0005762E" w:rsidRDefault="0005762E" w:rsidP="001B4A4A">
      <w:pPr>
        <w:pStyle w:val="text-18"/>
        <w:spacing w:after="300" w:afterAutospacing="0"/>
        <w:rPr>
          <w:rFonts w:asciiTheme="minorHAnsi" w:hAnsiTheme="minorHAnsi" w:cstheme="minorHAnsi"/>
          <w:color w:val="222222"/>
          <w:sz w:val="22"/>
          <w:szCs w:val="22"/>
        </w:rPr>
      </w:pPr>
      <w:r>
        <w:rPr>
          <w:rFonts w:asciiTheme="minorHAnsi" w:hAnsiTheme="minorHAnsi" w:cstheme="minorHAnsi"/>
          <w:color w:val="222222"/>
          <w:sz w:val="22"/>
          <w:szCs w:val="22"/>
        </w:rPr>
        <w:t>The Committee Chairperson, Mr. Paul Egan provided the group with an overview of the Committee’s work and the current status of the Migration of Participating Securities Bill 2019 as follows:</w:t>
      </w:r>
    </w:p>
    <w:p w:rsidR="001B4A4A" w:rsidRDefault="001B4A4A" w:rsidP="001B4A4A">
      <w:pPr>
        <w:pStyle w:val="text-18"/>
        <w:spacing w:after="300" w:afterAutospacing="0"/>
        <w:rPr>
          <w:rFonts w:asciiTheme="minorHAnsi" w:hAnsiTheme="minorHAnsi" w:cstheme="minorHAnsi"/>
          <w:b/>
          <w:color w:val="222222"/>
          <w:sz w:val="22"/>
          <w:szCs w:val="22"/>
        </w:rPr>
      </w:pPr>
      <w:r w:rsidRPr="001B4A4A">
        <w:rPr>
          <w:rFonts w:asciiTheme="minorHAnsi" w:hAnsiTheme="minorHAnsi" w:cstheme="minorHAnsi"/>
          <w:b/>
          <w:color w:val="222222"/>
          <w:sz w:val="22"/>
          <w:szCs w:val="22"/>
        </w:rPr>
        <w:t>Position on the Migration of Participating Securities Bill 2019</w:t>
      </w:r>
    </w:p>
    <w:p w:rsidR="001B4A4A" w:rsidRPr="001B4A4A" w:rsidRDefault="001B4A4A" w:rsidP="001B4A4A">
      <w:pPr>
        <w:pStyle w:val="text-18"/>
        <w:spacing w:after="300" w:afterAutospacing="0"/>
        <w:rPr>
          <w:rFonts w:asciiTheme="minorHAnsi" w:hAnsiTheme="minorHAnsi" w:cstheme="minorHAnsi"/>
          <w:color w:val="222222"/>
          <w:sz w:val="22"/>
          <w:szCs w:val="22"/>
        </w:rPr>
      </w:pPr>
      <w:r w:rsidRPr="001B4A4A">
        <w:rPr>
          <w:rFonts w:asciiTheme="minorHAnsi" w:hAnsiTheme="minorHAnsi" w:cstheme="minorHAnsi"/>
          <w:color w:val="222222"/>
          <w:sz w:val="22"/>
          <w:szCs w:val="22"/>
        </w:rPr>
        <w:lastRenderedPageBreak/>
        <w:t xml:space="preserve">The Committee are supportive of the General Scheme of Migration of Participating Securities Bill 2019. Consideration was given to submitting a report to the Minister on the Bill, however, after careful debate it was determined that any such report might delay the Bill. Given the tight timeframe, and huge significance of this Bill to the Irish market, it was decided that the Committee would report on any company law amendments arising from the Bill separately. </w:t>
      </w:r>
    </w:p>
    <w:p w:rsidR="001B4A4A" w:rsidRPr="001B4A4A" w:rsidRDefault="001B4A4A" w:rsidP="001B4A4A">
      <w:pPr>
        <w:pStyle w:val="text-18"/>
        <w:spacing w:after="300" w:afterAutospacing="0"/>
        <w:rPr>
          <w:rFonts w:asciiTheme="minorHAnsi" w:hAnsiTheme="minorHAnsi" w:cstheme="minorHAnsi"/>
          <w:color w:val="222222"/>
          <w:sz w:val="22"/>
          <w:szCs w:val="22"/>
        </w:rPr>
      </w:pPr>
      <w:r w:rsidRPr="001B4A4A">
        <w:rPr>
          <w:rFonts w:asciiTheme="minorHAnsi" w:hAnsiTheme="minorHAnsi" w:cstheme="minorHAnsi"/>
          <w:color w:val="222222"/>
          <w:sz w:val="22"/>
          <w:szCs w:val="22"/>
        </w:rPr>
        <w:t>The Committee wrote to the</w:t>
      </w:r>
      <w:r w:rsidR="0005762E">
        <w:rPr>
          <w:rFonts w:asciiTheme="minorHAnsi" w:hAnsiTheme="minorHAnsi" w:cstheme="minorHAnsi"/>
          <w:color w:val="222222"/>
          <w:sz w:val="22"/>
          <w:szCs w:val="22"/>
        </w:rPr>
        <w:t xml:space="preserve"> Assistant</w:t>
      </w:r>
      <w:r w:rsidRPr="001B4A4A">
        <w:rPr>
          <w:rFonts w:asciiTheme="minorHAnsi" w:hAnsiTheme="minorHAnsi" w:cstheme="minorHAnsi"/>
          <w:color w:val="222222"/>
          <w:sz w:val="22"/>
          <w:szCs w:val="22"/>
        </w:rPr>
        <w:t xml:space="preserve"> Secretary General of the Department of Finance outlining this position. </w:t>
      </w:r>
    </w:p>
    <w:p w:rsidR="001B4A4A" w:rsidRDefault="001B4A4A" w:rsidP="001B4A4A">
      <w:pPr>
        <w:pStyle w:val="text-18"/>
        <w:spacing w:after="300" w:afterAutospacing="0"/>
        <w:rPr>
          <w:rFonts w:asciiTheme="minorHAnsi" w:hAnsiTheme="minorHAnsi" w:cstheme="minorHAnsi"/>
          <w:b/>
          <w:color w:val="222222"/>
          <w:sz w:val="22"/>
          <w:szCs w:val="22"/>
        </w:rPr>
      </w:pPr>
      <w:r w:rsidRPr="001B4A4A">
        <w:rPr>
          <w:rFonts w:asciiTheme="minorHAnsi" w:hAnsiTheme="minorHAnsi" w:cstheme="minorHAnsi"/>
          <w:b/>
          <w:color w:val="222222"/>
          <w:sz w:val="22"/>
          <w:szCs w:val="22"/>
        </w:rPr>
        <w:t>Euroclear working groups’ activity</w:t>
      </w:r>
    </w:p>
    <w:p w:rsidR="00D54DFB" w:rsidRPr="001230F1" w:rsidRDefault="001230F1" w:rsidP="001B4A4A">
      <w:pPr>
        <w:pStyle w:val="text-18"/>
        <w:spacing w:after="300" w:afterAutospacing="0"/>
        <w:rPr>
          <w:rFonts w:asciiTheme="minorHAnsi" w:hAnsiTheme="minorHAnsi" w:cstheme="minorHAnsi"/>
          <w:color w:val="222222"/>
          <w:sz w:val="22"/>
          <w:szCs w:val="22"/>
        </w:rPr>
      </w:pPr>
      <w:r w:rsidRPr="001230F1">
        <w:rPr>
          <w:rFonts w:asciiTheme="minorHAnsi" w:hAnsiTheme="minorHAnsi" w:cstheme="minorHAnsi"/>
          <w:color w:val="222222"/>
          <w:sz w:val="22"/>
          <w:szCs w:val="22"/>
        </w:rPr>
        <w:t xml:space="preserve">The Chairperson </w:t>
      </w:r>
      <w:r w:rsidR="00C30032">
        <w:rPr>
          <w:rFonts w:asciiTheme="minorHAnsi" w:hAnsiTheme="minorHAnsi" w:cstheme="minorHAnsi"/>
          <w:color w:val="222222"/>
          <w:sz w:val="22"/>
          <w:szCs w:val="22"/>
        </w:rPr>
        <w:t>provided an overview as to the continuing work of the Euroclear working groups’ activity</w:t>
      </w:r>
      <w:r w:rsidRPr="001230F1">
        <w:rPr>
          <w:rFonts w:asciiTheme="minorHAnsi" w:hAnsiTheme="minorHAnsi" w:cstheme="minorHAnsi"/>
          <w:color w:val="222222"/>
          <w:sz w:val="22"/>
          <w:szCs w:val="22"/>
        </w:rPr>
        <w:t>.</w:t>
      </w:r>
    </w:p>
    <w:p w:rsidR="001B4A4A" w:rsidRDefault="001B4A4A" w:rsidP="001B4A4A">
      <w:pPr>
        <w:pStyle w:val="text-18"/>
        <w:numPr>
          <w:ilvl w:val="0"/>
          <w:numId w:val="2"/>
        </w:numPr>
        <w:spacing w:after="300" w:afterAutospacing="0"/>
        <w:rPr>
          <w:rFonts w:asciiTheme="minorHAnsi" w:hAnsiTheme="minorHAnsi" w:cstheme="minorHAnsi"/>
          <w:b/>
          <w:color w:val="222222"/>
          <w:sz w:val="22"/>
          <w:szCs w:val="22"/>
        </w:rPr>
      </w:pPr>
      <w:r>
        <w:rPr>
          <w:rFonts w:asciiTheme="minorHAnsi" w:hAnsiTheme="minorHAnsi" w:cstheme="minorHAnsi"/>
          <w:b/>
          <w:color w:val="222222"/>
          <w:sz w:val="22"/>
          <w:szCs w:val="22"/>
        </w:rPr>
        <w:t>Enforcement of Committee update</w:t>
      </w:r>
    </w:p>
    <w:p w:rsidR="00915F64" w:rsidRPr="00915F64" w:rsidRDefault="001B4A4A" w:rsidP="00915F64">
      <w:pPr>
        <w:rPr>
          <w:rFonts w:asciiTheme="minorHAnsi" w:hAnsiTheme="minorHAnsi" w:cstheme="minorHAnsi"/>
        </w:rPr>
      </w:pPr>
      <w:r w:rsidRPr="00915F64">
        <w:rPr>
          <w:rFonts w:asciiTheme="minorHAnsi" w:hAnsiTheme="minorHAnsi" w:cstheme="minorHAnsi"/>
          <w:color w:val="222222"/>
        </w:rPr>
        <w:t xml:space="preserve">Mr. Ian Drennan </w:t>
      </w:r>
      <w:r w:rsidR="00915F64" w:rsidRPr="00915F64">
        <w:rPr>
          <w:rFonts w:asciiTheme="minorHAnsi" w:hAnsiTheme="minorHAnsi" w:cstheme="minorHAnsi"/>
          <w:color w:val="222222"/>
        </w:rPr>
        <w:t>gave</w:t>
      </w:r>
      <w:r w:rsidRPr="00915F64">
        <w:rPr>
          <w:rFonts w:asciiTheme="minorHAnsi" w:hAnsiTheme="minorHAnsi" w:cstheme="minorHAnsi"/>
          <w:color w:val="222222"/>
        </w:rPr>
        <w:t xml:space="preserve"> an overview of the work to date done by the Committee and next steps</w:t>
      </w:r>
      <w:r w:rsidR="00915F64" w:rsidRPr="00915F64">
        <w:rPr>
          <w:rFonts w:asciiTheme="minorHAnsi" w:hAnsiTheme="minorHAnsi" w:cstheme="minorHAnsi"/>
          <w:color w:val="222222"/>
        </w:rPr>
        <w:t xml:space="preserve"> as follows:</w:t>
      </w:r>
    </w:p>
    <w:p w:rsidR="00915F64" w:rsidRPr="00915F64" w:rsidRDefault="00915F64" w:rsidP="00915F64">
      <w:pPr>
        <w:rPr>
          <w:rFonts w:asciiTheme="minorHAnsi" w:hAnsiTheme="minorHAnsi" w:cstheme="minorHAnsi"/>
        </w:rPr>
      </w:pPr>
    </w:p>
    <w:p w:rsidR="00915F64" w:rsidRPr="00915F64" w:rsidRDefault="00915F64" w:rsidP="00915F64">
      <w:pPr>
        <w:rPr>
          <w:rFonts w:asciiTheme="minorHAnsi" w:hAnsiTheme="minorHAnsi" w:cstheme="minorHAnsi"/>
        </w:rPr>
      </w:pPr>
      <w:r w:rsidRPr="00915F64">
        <w:rPr>
          <w:rFonts w:asciiTheme="minorHAnsi" w:hAnsiTheme="minorHAnsi" w:cstheme="minorHAnsi"/>
        </w:rPr>
        <w:t xml:space="preserve">Whilst it is my intention to convene a meeting of the Committee </w:t>
      </w:r>
      <w:proofErr w:type="gramStart"/>
      <w:r w:rsidRPr="00915F64">
        <w:rPr>
          <w:rFonts w:asciiTheme="minorHAnsi" w:hAnsiTheme="minorHAnsi" w:cstheme="minorHAnsi"/>
        </w:rPr>
        <w:t>in the near future</w:t>
      </w:r>
      <w:proofErr w:type="gramEnd"/>
      <w:r w:rsidRPr="00915F64">
        <w:rPr>
          <w:rFonts w:asciiTheme="minorHAnsi" w:hAnsiTheme="minorHAnsi" w:cstheme="minorHAnsi"/>
        </w:rPr>
        <w:t xml:space="preserve">, there are a number of matters that are likely to have a bearing on its deliberations, </w:t>
      </w:r>
      <w:r w:rsidRPr="00915F64">
        <w:rPr>
          <w:rFonts w:asciiTheme="minorHAnsi" w:hAnsiTheme="minorHAnsi" w:cstheme="minorHAnsi"/>
          <w:i/>
        </w:rPr>
        <w:t>viz</w:t>
      </w:r>
      <w:r w:rsidRPr="00915F64">
        <w:rPr>
          <w:rFonts w:asciiTheme="minorHAnsi" w:hAnsiTheme="minorHAnsi" w:cstheme="minorHAnsi"/>
        </w:rPr>
        <w:t>:</w:t>
      </w:r>
    </w:p>
    <w:p w:rsidR="00915F64" w:rsidRPr="00915F64" w:rsidRDefault="00915F64" w:rsidP="00915F64">
      <w:pPr>
        <w:rPr>
          <w:rFonts w:asciiTheme="minorHAnsi" w:hAnsiTheme="minorHAnsi" w:cstheme="minorHAnsi"/>
        </w:rPr>
      </w:pPr>
    </w:p>
    <w:p w:rsidR="00915F64" w:rsidRPr="00915F64" w:rsidRDefault="00915F64" w:rsidP="00915F64">
      <w:pPr>
        <w:pStyle w:val="ListParagraph"/>
        <w:numPr>
          <w:ilvl w:val="0"/>
          <w:numId w:val="28"/>
        </w:numPr>
        <w:spacing w:after="0" w:line="240" w:lineRule="auto"/>
        <w:rPr>
          <w:rFonts w:asciiTheme="minorHAnsi" w:hAnsiTheme="minorHAnsi" w:cstheme="minorHAnsi"/>
          <w:sz w:val="24"/>
          <w:szCs w:val="24"/>
        </w:rPr>
      </w:pPr>
      <w:r w:rsidRPr="00915F64">
        <w:rPr>
          <w:rFonts w:asciiTheme="minorHAnsi" w:hAnsiTheme="minorHAnsi" w:cstheme="minorHAnsi"/>
          <w:sz w:val="24"/>
          <w:szCs w:val="24"/>
        </w:rPr>
        <w:t>Companies (Corporate Enforcement Authority) Bill 2018 (ongoing);</w:t>
      </w:r>
    </w:p>
    <w:p w:rsidR="00915F64" w:rsidRPr="00915F64" w:rsidRDefault="00915F64" w:rsidP="00915F64">
      <w:pPr>
        <w:pStyle w:val="ListParagraph"/>
        <w:rPr>
          <w:rFonts w:asciiTheme="minorHAnsi" w:hAnsiTheme="minorHAnsi" w:cstheme="minorHAnsi"/>
          <w:sz w:val="24"/>
          <w:szCs w:val="24"/>
        </w:rPr>
      </w:pPr>
    </w:p>
    <w:p w:rsidR="00915F64" w:rsidRPr="00915F64" w:rsidRDefault="00915F64" w:rsidP="00915F64">
      <w:pPr>
        <w:pStyle w:val="ListParagraph"/>
        <w:numPr>
          <w:ilvl w:val="0"/>
          <w:numId w:val="28"/>
        </w:numPr>
        <w:spacing w:after="0" w:line="240" w:lineRule="auto"/>
        <w:rPr>
          <w:rFonts w:asciiTheme="minorHAnsi" w:hAnsiTheme="minorHAnsi" w:cstheme="minorHAnsi"/>
          <w:sz w:val="24"/>
          <w:szCs w:val="24"/>
        </w:rPr>
      </w:pPr>
      <w:r w:rsidRPr="00915F64">
        <w:rPr>
          <w:rFonts w:asciiTheme="minorHAnsi" w:hAnsiTheme="minorHAnsi" w:cstheme="minorHAnsi"/>
          <w:sz w:val="24"/>
          <w:szCs w:val="24"/>
        </w:rPr>
        <w:t>associated issues that the ODCE is in discussion with the Department in respect of (ongoing);</w:t>
      </w:r>
    </w:p>
    <w:p w:rsidR="00915F64" w:rsidRPr="00915F64" w:rsidRDefault="00915F64" w:rsidP="00915F64">
      <w:pPr>
        <w:rPr>
          <w:rFonts w:asciiTheme="minorHAnsi" w:hAnsiTheme="minorHAnsi" w:cstheme="minorHAnsi"/>
        </w:rPr>
      </w:pPr>
    </w:p>
    <w:p w:rsidR="00915F64" w:rsidRPr="00915F64" w:rsidRDefault="00915F64" w:rsidP="00915F64">
      <w:pPr>
        <w:pStyle w:val="ListParagraph"/>
        <w:numPr>
          <w:ilvl w:val="0"/>
          <w:numId w:val="28"/>
        </w:numPr>
        <w:spacing w:after="0" w:line="240" w:lineRule="auto"/>
        <w:rPr>
          <w:rFonts w:asciiTheme="minorHAnsi" w:hAnsiTheme="minorHAnsi" w:cstheme="minorHAnsi"/>
          <w:sz w:val="24"/>
          <w:szCs w:val="24"/>
        </w:rPr>
      </w:pPr>
      <w:r w:rsidRPr="00915F64">
        <w:rPr>
          <w:rFonts w:asciiTheme="minorHAnsi" w:hAnsiTheme="minorHAnsi" w:cstheme="minorHAnsi"/>
          <w:sz w:val="24"/>
          <w:szCs w:val="24"/>
        </w:rPr>
        <w:t>the Oireachtas Business, Enterprise &amp; Innovation Committee’s pre-legislative scrutiny of the Companies (Corporate Enforcement Authority) Bill 2018 (ongoing);</w:t>
      </w:r>
    </w:p>
    <w:p w:rsidR="00915F64" w:rsidRPr="00915F64" w:rsidRDefault="00915F64" w:rsidP="00915F64">
      <w:pPr>
        <w:pStyle w:val="ListParagraph"/>
        <w:rPr>
          <w:rFonts w:asciiTheme="minorHAnsi" w:hAnsiTheme="minorHAnsi" w:cstheme="minorHAnsi"/>
          <w:sz w:val="24"/>
          <w:szCs w:val="24"/>
        </w:rPr>
      </w:pPr>
    </w:p>
    <w:p w:rsidR="00915F64" w:rsidRPr="00915F64" w:rsidRDefault="00915F64" w:rsidP="00915F64">
      <w:pPr>
        <w:pStyle w:val="ListParagraph"/>
        <w:numPr>
          <w:ilvl w:val="1"/>
          <w:numId w:val="28"/>
        </w:numPr>
        <w:spacing w:after="0" w:line="240" w:lineRule="auto"/>
        <w:rPr>
          <w:rFonts w:asciiTheme="minorHAnsi" w:hAnsiTheme="minorHAnsi" w:cstheme="minorHAnsi"/>
          <w:sz w:val="24"/>
          <w:szCs w:val="24"/>
        </w:rPr>
      </w:pPr>
      <w:r w:rsidRPr="00915F64">
        <w:rPr>
          <w:rFonts w:asciiTheme="minorHAnsi" w:hAnsiTheme="minorHAnsi" w:cstheme="minorHAnsi"/>
          <w:sz w:val="24"/>
          <w:szCs w:val="24"/>
        </w:rPr>
        <w:t>ODCE representatives have appeared before the Committee;</w:t>
      </w:r>
    </w:p>
    <w:p w:rsidR="00915F64" w:rsidRPr="00915F64" w:rsidRDefault="00915F64" w:rsidP="00915F64">
      <w:pPr>
        <w:pStyle w:val="ListParagraph"/>
        <w:ind w:left="1440"/>
        <w:rPr>
          <w:rFonts w:asciiTheme="minorHAnsi" w:hAnsiTheme="minorHAnsi" w:cstheme="minorHAnsi"/>
          <w:sz w:val="24"/>
          <w:szCs w:val="24"/>
        </w:rPr>
      </w:pPr>
    </w:p>
    <w:p w:rsidR="00915F64" w:rsidRPr="00915F64" w:rsidRDefault="00915F64" w:rsidP="00915F64">
      <w:pPr>
        <w:pStyle w:val="ListParagraph"/>
        <w:numPr>
          <w:ilvl w:val="1"/>
          <w:numId w:val="28"/>
        </w:numPr>
        <w:spacing w:after="0" w:line="240" w:lineRule="auto"/>
        <w:rPr>
          <w:rFonts w:asciiTheme="minorHAnsi" w:hAnsiTheme="minorHAnsi" w:cstheme="minorHAnsi"/>
          <w:sz w:val="24"/>
          <w:szCs w:val="24"/>
        </w:rPr>
      </w:pPr>
      <w:r w:rsidRPr="00915F64">
        <w:rPr>
          <w:rFonts w:asciiTheme="minorHAnsi" w:hAnsiTheme="minorHAnsi" w:cstheme="minorHAnsi"/>
          <w:sz w:val="24"/>
          <w:szCs w:val="24"/>
        </w:rPr>
        <w:t xml:space="preserve">Committee wishes to obtain a Submission from me on issues associated with </w:t>
      </w:r>
      <w:r w:rsidRPr="00915F64">
        <w:rPr>
          <w:rFonts w:asciiTheme="minorHAnsi" w:hAnsiTheme="minorHAnsi" w:cstheme="minorHAnsi"/>
          <w:i/>
          <w:sz w:val="24"/>
          <w:szCs w:val="24"/>
        </w:rPr>
        <w:t xml:space="preserve">DPP v </w:t>
      </w:r>
      <w:proofErr w:type="spellStart"/>
      <w:r w:rsidRPr="00915F64">
        <w:rPr>
          <w:rFonts w:asciiTheme="minorHAnsi" w:hAnsiTheme="minorHAnsi" w:cstheme="minorHAnsi"/>
          <w:i/>
          <w:sz w:val="24"/>
          <w:szCs w:val="24"/>
        </w:rPr>
        <w:t>FitzPatrick</w:t>
      </w:r>
      <w:proofErr w:type="spellEnd"/>
      <w:r w:rsidRPr="00915F64">
        <w:rPr>
          <w:rFonts w:asciiTheme="minorHAnsi" w:hAnsiTheme="minorHAnsi" w:cstheme="minorHAnsi"/>
          <w:sz w:val="24"/>
          <w:szCs w:val="24"/>
        </w:rPr>
        <w:t xml:space="preserve"> and, for reasons that aren’t necessary to go into here, has indicated its intention to seek powers of compellability in to that end – ODCE has no issue with that proposed course of action and, if compelled to do so, has no issue with providing the Submission to the Committee;</w:t>
      </w:r>
    </w:p>
    <w:p w:rsidR="00915F64" w:rsidRPr="00915F64" w:rsidRDefault="00915F64" w:rsidP="00915F64">
      <w:pPr>
        <w:rPr>
          <w:rFonts w:asciiTheme="minorHAnsi" w:hAnsiTheme="minorHAnsi" w:cstheme="minorHAnsi"/>
        </w:rPr>
      </w:pPr>
    </w:p>
    <w:p w:rsidR="00915F64" w:rsidRPr="00915F64" w:rsidRDefault="00915F64" w:rsidP="00915F64">
      <w:pPr>
        <w:pStyle w:val="ListParagraph"/>
        <w:numPr>
          <w:ilvl w:val="0"/>
          <w:numId w:val="28"/>
        </w:numPr>
        <w:spacing w:after="0" w:line="240" w:lineRule="auto"/>
        <w:rPr>
          <w:rFonts w:asciiTheme="minorHAnsi" w:hAnsiTheme="minorHAnsi" w:cstheme="minorHAnsi"/>
          <w:sz w:val="24"/>
          <w:szCs w:val="24"/>
        </w:rPr>
      </w:pPr>
      <w:r w:rsidRPr="00915F64">
        <w:rPr>
          <w:rFonts w:asciiTheme="minorHAnsi" w:hAnsiTheme="minorHAnsi" w:cstheme="minorHAnsi"/>
          <w:sz w:val="24"/>
          <w:szCs w:val="24"/>
        </w:rPr>
        <w:t>Group charged with reviewing Ireland’s Anti-Fraud &amp; Anti-Corruption arrangements, which is chaired by former DPP, Mr. James Hamilton (ongoing). ODCE is a member of that Group;</w:t>
      </w:r>
    </w:p>
    <w:p w:rsidR="00915F64" w:rsidRPr="00915F64" w:rsidRDefault="00915F64" w:rsidP="00915F64">
      <w:pPr>
        <w:pStyle w:val="ListParagraph"/>
        <w:rPr>
          <w:rFonts w:asciiTheme="minorHAnsi" w:hAnsiTheme="minorHAnsi" w:cstheme="minorHAnsi"/>
          <w:sz w:val="24"/>
          <w:szCs w:val="24"/>
        </w:rPr>
      </w:pPr>
    </w:p>
    <w:p w:rsidR="00915F64" w:rsidRPr="00915F64" w:rsidRDefault="00915F64" w:rsidP="00915F64">
      <w:pPr>
        <w:pStyle w:val="ListParagraph"/>
        <w:numPr>
          <w:ilvl w:val="0"/>
          <w:numId w:val="28"/>
        </w:numPr>
        <w:spacing w:after="0" w:line="240" w:lineRule="auto"/>
        <w:rPr>
          <w:rFonts w:asciiTheme="minorHAnsi" w:hAnsiTheme="minorHAnsi" w:cstheme="minorHAnsi"/>
          <w:sz w:val="24"/>
          <w:szCs w:val="24"/>
        </w:rPr>
      </w:pPr>
      <w:r w:rsidRPr="00915F64">
        <w:rPr>
          <w:rFonts w:asciiTheme="minorHAnsi" w:hAnsiTheme="minorHAnsi" w:cstheme="minorHAnsi"/>
          <w:sz w:val="24"/>
          <w:szCs w:val="24"/>
        </w:rPr>
        <w:t>Law Reform Commission Report on Regulatory Powers &amp; Corporate Offences.</w:t>
      </w:r>
    </w:p>
    <w:p w:rsidR="00915F64" w:rsidRPr="00915F64" w:rsidRDefault="00915F64" w:rsidP="00915F64">
      <w:pPr>
        <w:rPr>
          <w:rFonts w:asciiTheme="minorHAnsi" w:hAnsiTheme="minorHAnsi" w:cstheme="minorHAnsi"/>
        </w:rPr>
      </w:pPr>
    </w:p>
    <w:p w:rsidR="00915F64" w:rsidRPr="00915F64" w:rsidRDefault="00915F64" w:rsidP="00915F64">
      <w:pPr>
        <w:rPr>
          <w:rFonts w:asciiTheme="minorHAnsi" w:hAnsiTheme="minorHAnsi" w:cstheme="minorHAnsi"/>
        </w:rPr>
      </w:pPr>
    </w:p>
    <w:p w:rsidR="001B4A4A" w:rsidRDefault="00915F64" w:rsidP="00915F64">
      <w:pPr>
        <w:rPr>
          <w:rFonts w:asciiTheme="minorHAnsi" w:hAnsiTheme="minorHAnsi" w:cstheme="minorHAnsi"/>
        </w:rPr>
      </w:pPr>
      <w:r w:rsidRPr="00915F64">
        <w:rPr>
          <w:rFonts w:asciiTheme="minorHAnsi" w:hAnsiTheme="minorHAnsi" w:cstheme="minorHAnsi"/>
        </w:rPr>
        <w:t xml:space="preserve">Whereas the Enforcement Committee can continue to deliberate, it is unlikely that it will be </w:t>
      </w:r>
      <w:proofErr w:type="gramStart"/>
      <w:r w:rsidRPr="00915F64">
        <w:rPr>
          <w:rFonts w:asciiTheme="minorHAnsi" w:hAnsiTheme="minorHAnsi" w:cstheme="minorHAnsi"/>
        </w:rPr>
        <w:t>in a position</w:t>
      </w:r>
      <w:proofErr w:type="gramEnd"/>
      <w:r w:rsidRPr="00915F64">
        <w:rPr>
          <w:rFonts w:asciiTheme="minorHAnsi" w:hAnsiTheme="minorHAnsi" w:cstheme="minorHAnsi"/>
        </w:rPr>
        <w:t xml:space="preserve"> to conclude its work until such time as the more significant of the foregoing have reached a conclusion as some have a direct bearing on the enforcement of company law.</w:t>
      </w:r>
    </w:p>
    <w:p w:rsidR="00915F64" w:rsidRPr="00915F64" w:rsidRDefault="00915F64" w:rsidP="00915F64">
      <w:pPr>
        <w:rPr>
          <w:rFonts w:asciiTheme="minorHAnsi" w:hAnsiTheme="minorHAnsi" w:cstheme="minorHAnsi"/>
        </w:rPr>
      </w:pPr>
    </w:p>
    <w:p w:rsidR="000B67E7" w:rsidRPr="00D54DFB" w:rsidRDefault="00D54DFB" w:rsidP="00D54DFB">
      <w:pPr>
        <w:pStyle w:val="BodyTextIndent2"/>
        <w:numPr>
          <w:ilvl w:val="0"/>
          <w:numId w:val="2"/>
        </w:numPr>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D54DFB">
        <w:rPr>
          <w:rFonts w:ascii="Calibri" w:hAnsi="Calibri"/>
          <w:b/>
          <w:sz w:val="22"/>
          <w:szCs w:val="22"/>
        </w:rPr>
        <w:t>Insolvency Committee update</w:t>
      </w:r>
    </w:p>
    <w:p w:rsidR="001230F1" w:rsidRPr="001230F1" w:rsidRDefault="001230F1" w:rsidP="001230F1">
      <w:pPr>
        <w:pStyle w:val="BodyTextIndent2"/>
        <w:pBdr>
          <w:top w:val="none" w:sz="0" w:space="0" w:color="auto"/>
          <w:left w:val="none" w:sz="0" w:space="0" w:color="auto"/>
          <w:bottom w:val="none" w:sz="0" w:space="0" w:color="auto"/>
          <w:right w:val="none" w:sz="0" w:space="0" w:color="auto"/>
        </w:pBdr>
        <w:spacing w:line="276" w:lineRule="auto"/>
        <w:ind w:left="5040" w:firstLine="0"/>
        <w:rPr>
          <w:rFonts w:ascii="Calibri" w:hAnsi="Calibri"/>
          <w:b/>
          <w:sz w:val="22"/>
          <w:szCs w:val="22"/>
        </w:rPr>
      </w:pPr>
    </w:p>
    <w:p w:rsidR="00D54DFB" w:rsidRDefault="00D54DFB"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The Secretariat provide</w:t>
      </w:r>
      <w:r w:rsidR="00915F64">
        <w:rPr>
          <w:rFonts w:ascii="Calibri" w:hAnsi="Calibri"/>
          <w:sz w:val="22"/>
          <w:szCs w:val="22"/>
        </w:rPr>
        <w:t>d</w:t>
      </w:r>
      <w:r>
        <w:rPr>
          <w:rFonts w:ascii="Calibri" w:hAnsi="Calibri"/>
          <w:sz w:val="22"/>
          <w:szCs w:val="22"/>
        </w:rPr>
        <w:t xml:space="preserve"> a brief update as follows:</w:t>
      </w:r>
    </w:p>
    <w:p w:rsidR="00D54DFB" w:rsidRDefault="00D54DFB"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D54DFB" w:rsidRDefault="00D54DFB"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 xml:space="preserve">A research paper </w:t>
      </w:r>
      <w:r w:rsidR="00F2384A">
        <w:rPr>
          <w:rFonts w:ascii="Calibri" w:hAnsi="Calibri"/>
          <w:sz w:val="22"/>
          <w:szCs w:val="22"/>
        </w:rPr>
        <w:t>is being</w:t>
      </w:r>
      <w:r>
        <w:rPr>
          <w:rFonts w:ascii="Calibri" w:hAnsi="Calibri"/>
          <w:sz w:val="22"/>
          <w:szCs w:val="22"/>
        </w:rPr>
        <w:t xml:space="preserve"> prepared by the Secretariat and legal researcher on </w:t>
      </w:r>
    </w:p>
    <w:p w:rsidR="00D54DFB" w:rsidRDefault="00D54DFB"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 xml:space="preserve">Winding up and the Regulation of Liquidators. It is envisioned that this paper will form the </w:t>
      </w:r>
    </w:p>
    <w:p w:rsidR="00F2384A" w:rsidRDefault="00D54DFB" w:rsidP="00915F64">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basis of the Committee’s Report</w:t>
      </w:r>
      <w:r w:rsidR="00F2384A">
        <w:rPr>
          <w:rFonts w:ascii="Calibri" w:hAnsi="Calibri"/>
          <w:sz w:val="22"/>
          <w:szCs w:val="22"/>
        </w:rPr>
        <w:t>. The paper will be circulated to the Committee once</w:t>
      </w:r>
    </w:p>
    <w:p w:rsidR="00D54DFB" w:rsidRDefault="00F2384A" w:rsidP="00915F64">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finalised.</w:t>
      </w:r>
    </w:p>
    <w:p w:rsidR="00D54DFB" w:rsidRDefault="00D54DFB"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D54DFB" w:rsidRDefault="00D54DFB" w:rsidP="00D54DFB">
      <w:pPr>
        <w:pStyle w:val="BodyTextIndent2"/>
        <w:numPr>
          <w:ilvl w:val="0"/>
          <w:numId w:val="2"/>
        </w:numPr>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D54DFB">
        <w:rPr>
          <w:rFonts w:ascii="Calibri" w:hAnsi="Calibri"/>
          <w:b/>
          <w:sz w:val="22"/>
          <w:szCs w:val="22"/>
        </w:rPr>
        <w:t>Statutory Committee update</w:t>
      </w:r>
    </w:p>
    <w:p w:rsidR="00F2384A" w:rsidRPr="00D54DFB" w:rsidRDefault="00F2384A" w:rsidP="00F2384A">
      <w:pPr>
        <w:pStyle w:val="BodyTextIndent2"/>
        <w:pBdr>
          <w:top w:val="none" w:sz="0" w:space="0" w:color="auto"/>
          <w:left w:val="none" w:sz="0" w:space="0" w:color="auto"/>
          <w:bottom w:val="none" w:sz="0" w:space="0" w:color="auto"/>
          <w:right w:val="none" w:sz="0" w:space="0" w:color="auto"/>
        </w:pBdr>
        <w:spacing w:line="276" w:lineRule="auto"/>
        <w:ind w:left="720" w:firstLine="0"/>
        <w:rPr>
          <w:rFonts w:ascii="Calibri" w:hAnsi="Calibri"/>
          <w:b/>
          <w:sz w:val="22"/>
          <w:szCs w:val="22"/>
        </w:rPr>
      </w:pPr>
    </w:p>
    <w:p w:rsidR="00F2384A" w:rsidRDefault="00F2384A" w:rsidP="00F2384A">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Mr. Paul Egan provided the following update:</w:t>
      </w:r>
    </w:p>
    <w:p w:rsidR="00F2384A" w:rsidRDefault="00F2384A" w:rsidP="00F2384A">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D54DFB" w:rsidRDefault="00D54DFB"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The Statutory Committee prepared a response to the Department’s Public Consultation on</w:t>
      </w:r>
    </w:p>
    <w:p w:rsidR="00F2384A" w:rsidRDefault="00D54DFB"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 xml:space="preserve">the Registration of Business names Act 1963. </w:t>
      </w:r>
      <w:r w:rsidR="00F2384A">
        <w:rPr>
          <w:rFonts w:ascii="Calibri" w:hAnsi="Calibri"/>
          <w:sz w:val="22"/>
          <w:szCs w:val="22"/>
        </w:rPr>
        <w:t xml:space="preserve">The Committee will continue to be convened </w:t>
      </w:r>
    </w:p>
    <w:p w:rsidR="00D54DFB" w:rsidRDefault="00F2384A"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as and when short term responses to proposed legislative amendments are required.</w:t>
      </w:r>
    </w:p>
    <w:p w:rsidR="00F2384A" w:rsidRDefault="00F2384A" w:rsidP="00F2384A">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sz w:val="22"/>
          <w:szCs w:val="22"/>
        </w:rPr>
      </w:pPr>
    </w:p>
    <w:p w:rsidR="001230F1" w:rsidRDefault="001230F1" w:rsidP="00D54DFB">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1230F1" w:rsidRDefault="001230F1" w:rsidP="001230F1">
      <w:pPr>
        <w:pStyle w:val="BodyTextIndent2"/>
        <w:numPr>
          <w:ilvl w:val="0"/>
          <w:numId w:val="2"/>
        </w:numPr>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sidRPr="001230F1">
        <w:rPr>
          <w:rFonts w:ascii="Calibri" w:hAnsi="Calibri"/>
          <w:b/>
          <w:sz w:val="22"/>
          <w:szCs w:val="22"/>
        </w:rPr>
        <w:t>Register of Beneficial Ownership</w:t>
      </w:r>
    </w:p>
    <w:p w:rsidR="00F2384A" w:rsidRDefault="00F2384A" w:rsidP="00F2384A">
      <w:pPr>
        <w:pStyle w:val="BodyTextIndent2"/>
        <w:pBdr>
          <w:top w:val="none" w:sz="0" w:space="0" w:color="auto"/>
          <w:left w:val="none" w:sz="0" w:space="0" w:color="auto"/>
          <w:bottom w:val="none" w:sz="0" w:space="0" w:color="auto"/>
          <w:right w:val="none" w:sz="0" w:space="0" w:color="auto"/>
        </w:pBdr>
        <w:spacing w:line="276" w:lineRule="auto"/>
        <w:ind w:left="720" w:firstLine="0"/>
        <w:rPr>
          <w:rFonts w:ascii="Calibri" w:hAnsi="Calibri"/>
          <w:b/>
          <w:sz w:val="22"/>
          <w:szCs w:val="22"/>
        </w:rPr>
      </w:pPr>
    </w:p>
    <w:p w:rsidR="00F2384A" w:rsidRDefault="00F2384A" w:rsidP="00F2384A">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Mr Paul Egan outlined that c</w:t>
      </w:r>
      <w:r w:rsidR="001230F1" w:rsidRPr="001230F1">
        <w:rPr>
          <w:rFonts w:ascii="Calibri" w:hAnsi="Calibri"/>
          <w:sz w:val="22"/>
          <w:szCs w:val="22"/>
        </w:rPr>
        <w:t xml:space="preserve">orrespondence was issued to the Department in relation to the </w:t>
      </w:r>
    </w:p>
    <w:p w:rsidR="001230F1" w:rsidRPr="001230F1" w:rsidRDefault="001230F1" w:rsidP="00F2384A">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1230F1">
        <w:rPr>
          <w:rFonts w:ascii="Calibri" w:hAnsi="Calibri"/>
          <w:sz w:val="22"/>
          <w:szCs w:val="22"/>
        </w:rPr>
        <w:t>Register of Beneficial</w:t>
      </w:r>
      <w:r w:rsidR="00F2384A">
        <w:rPr>
          <w:rFonts w:ascii="Calibri" w:hAnsi="Calibri"/>
          <w:sz w:val="22"/>
          <w:szCs w:val="22"/>
        </w:rPr>
        <w:t xml:space="preserve"> </w:t>
      </w:r>
      <w:r w:rsidRPr="001230F1">
        <w:rPr>
          <w:rFonts w:ascii="Calibri" w:hAnsi="Calibri"/>
          <w:sz w:val="22"/>
          <w:szCs w:val="22"/>
        </w:rPr>
        <w:t>Ownership outlining the following concerns;</w:t>
      </w:r>
    </w:p>
    <w:p w:rsidR="001230F1" w:rsidRPr="001230F1" w:rsidRDefault="001230F1" w:rsidP="001230F1">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1230F1" w:rsidRPr="001230F1" w:rsidRDefault="00DD3BC6" w:rsidP="001230F1">
      <w:pPr>
        <w:pStyle w:val="BodyTextIndent2"/>
        <w:numPr>
          <w:ilvl w:val="0"/>
          <w:numId w:val="26"/>
        </w:numPr>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Legal basis for a form BEN2;</w:t>
      </w:r>
    </w:p>
    <w:p w:rsidR="001230F1" w:rsidRDefault="00DD3BC6" w:rsidP="001230F1">
      <w:pPr>
        <w:pStyle w:val="BodyTextIndent2"/>
        <w:numPr>
          <w:ilvl w:val="0"/>
          <w:numId w:val="26"/>
        </w:numPr>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Effect of non-filing of form BEN2; and</w:t>
      </w:r>
    </w:p>
    <w:p w:rsidR="00DD3BC6" w:rsidRPr="001230F1" w:rsidRDefault="00DD3BC6" w:rsidP="001230F1">
      <w:pPr>
        <w:pStyle w:val="BodyTextIndent2"/>
        <w:numPr>
          <w:ilvl w:val="0"/>
          <w:numId w:val="26"/>
        </w:numPr>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Requirement for a statutory declaration.</w:t>
      </w:r>
    </w:p>
    <w:p w:rsidR="001230F1" w:rsidRPr="001230F1" w:rsidRDefault="001230F1" w:rsidP="001230F1">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p>
    <w:p w:rsidR="001230F1" w:rsidRPr="001230F1" w:rsidRDefault="00F2384A" w:rsidP="001230F1">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D</w:t>
      </w:r>
      <w:r w:rsidR="001230F1" w:rsidRPr="001230F1">
        <w:rPr>
          <w:rFonts w:ascii="Calibri" w:hAnsi="Calibri"/>
          <w:sz w:val="22"/>
          <w:szCs w:val="22"/>
        </w:rPr>
        <w:t>iscussion</w:t>
      </w:r>
      <w:r>
        <w:rPr>
          <w:rFonts w:ascii="Calibri" w:hAnsi="Calibri"/>
          <w:sz w:val="22"/>
          <w:szCs w:val="22"/>
        </w:rPr>
        <w:t xml:space="preserve"> was opened</w:t>
      </w:r>
      <w:r w:rsidR="001230F1" w:rsidRPr="001230F1">
        <w:rPr>
          <w:rFonts w:ascii="Calibri" w:hAnsi="Calibri"/>
          <w:sz w:val="22"/>
          <w:szCs w:val="22"/>
        </w:rPr>
        <w:t xml:space="preserve"> to the floor </w:t>
      </w:r>
      <w:proofErr w:type="gramStart"/>
      <w:r>
        <w:rPr>
          <w:rFonts w:ascii="Calibri" w:hAnsi="Calibri"/>
          <w:sz w:val="22"/>
          <w:szCs w:val="22"/>
        </w:rPr>
        <w:t>so as to</w:t>
      </w:r>
      <w:proofErr w:type="gramEnd"/>
      <w:r>
        <w:rPr>
          <w:rFonts w:ascii="Calibri" w:hAnsi="Calibri"/>
          <w:sz w:val="22"/>
          <w:szCs w:val="22"/>
        </w:rPr>
        <w:t xml:space="preserve"> </w:t>
      </w:r>
      <w:r w:rsidR="001230F1" w:rsidRPr="001230F1">
        <w:rPr>
          <w:rFonts w:ascii="Calibri" w:hAnsi="Calibri"/>
          <w:sz w:val="22"/>
          <w:szCs w:val="22"/>
        </w:rPr>
        <w:t xml:space="preserve">illicit the views of members so as to </w:t>
      </w:r>
    </w:p>
    <w:p w:rsidR="00F2384A" w:rsidRDefault="00067ABD" w:rsidP="001230F1">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a</w:t>
      </w:r>
      <w:r w:rsidR="001230F1" w:rsidRPr="001230F1">
        <w:rPr>
          <w:rFonts w:ascii="Calibri" w:hAnsi="Calibri"/>
          <w:sz w:val="22"/>
          <w:szCs w:val="22"/>
        </w:rPr>
        <w:t>scertain a common position for the Review Group.</w:t>
      </w:r>
      <w:r w:rsidR="00F2384A">
        <w:rPr>
          <w:rFonts w:ascii="Calibri" w:hAnsi="Calibri"/>
          <w:sz w:val="22"/>
          <w:szCs w:val="22"/>
        </w:rPr>
        <w:t xml:space="preserve"> It was agreed to keep the matter under </w:t>
      </w:r>
    </w:p>
    <w:p w:rsidR="001230F1" w:rsidRPr="001230F1" w:rsidRDefault="00F2384A" w:rsidP="001230F1">
      <w:pPr>
        <w:pStyle w:val="BodyTextIndent2"/>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review.</w:t>
      </w:r>
    </w:p>
    <w:p w:rsidR="001230F1" w:rsidRDefault="001230F1" w:rsidP="001230F1">
      <w:pPr>
        <w:pStyle w:val="BodyTextIndent2"/>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p>
    <w:p w:rsidR="001230F1" w:rsidRDefault="001230F1" w:rsidP="001230F1">
      <w:pPr>
        <w:pStyle w:val="BodyTextIndent2"/>
        <w:numPr>
          <w:ilvl w:val="0"/>
          <w:numId w:val="2"/>
        </w:numPr>
        <w:pBdr>
          <w:top w:val="none" w:sz="0" w:space="0" w:color="auto"/>
          <w:left w:val="none" w:sz="0" w:space="0" w:color="auto"/>
          <w:bottom w:val="none" w:sz="0" w:space="0" w:color="auto"/>
          <w:right w:val="none" w:sz="0" w:space="0" w:color="auto"/>
        </w:pBdr>
        <w:spacing w:line="276" w:lineRule="auto"/>
        <w:rPr>
          <w:rFonts w:ascii="Calibri" w:hAnsi="Calibri"/>
          <w:b/>
          <w:sz w:val="22"/>
          <w:szCs w:val="22"/>
        </w:rPr>
      </w:pPr>
      <w:r>
        <w:rPr>
          <w:rFonts w:ascii="Calibri" w:hAnsi="Calibri"/>
          <w:b/>
          <w:sz w:val="22"/>
          <w:szCs w:val="22"/>
        </w:rPr>
        <w:t>AOB</w:t>
      </w:r>
    </w:p>
    <w:p w:rsidR="00973645" w:rsidRPr="00554654" w:rsidRDefault="00973645" w:rsidP="000447CA">
      <w:pPr>
        <w:pStyle w:val="BodyTextIndent2"/>
        <w:pBdr>
          <w:top w:val="none" w:sz="0" w:space="0" w:color="auto"/>
          <w:left w:val="none" w:sz="0" w:space="0" w:color="auto"/>
          <w:bottom w:val="none" w:sz="0" w:space="0" w:color="auto"/>
          <w:right w:val="none" w:sz="0" w:space="0" w:color="auto"/>
        </w:pBdr>
        <w:spacing w:line="276" w:lineRule="auto"/>
        <w:ind w:left="0" w:firstLine="0"/>
        <w:rPr>
          <w:rFonts w:ascii="Calibri" w:hAnsi="Calibri"/>
          <w:b/>
          <w:sz w:val="22"/>
          <w:szCs w:val="22"/>
        </w:rPr>
      </w:pPr>
    </w:p>
    <w:p w:rsidR="001C6329" w:rsidRDefault="0005762E" w:rsidP="00542638">
      <w:pPr>
        <w:spacing w:line="276" w:lineRule="auto"/>
        <w:rPr>
          <w:rFonts w:asciiTheme="minorHAnsi" w:hAnsiTheme="minorHAnsi" w:cstheme="minorHAnsi"/>
          <w:sz w:val="22"/>
          <w:szCs w:val="22"/>
        </w:rPr>
      </w:pPr>
      <w:r>
        <w:rPr>
          <w:rFonts w:asciiTheme="minorHAnsi" w:hAnsiTheme="minorHAnsi" w:cstheme="minorHAnsi"/>
          <w:sz w:val="22"/>
          <w:szCs w:val="22"/>
        </w:rPr>
        <w:t xml:space="preserve">There were no matters signalled under AOB. </w:t>
      </w:r>
    </w:p>
    <w:p w:rsidR="0005762E" w:rsidRPr="001C6329" w:rsidRDefault="0005762E" w:rsidP="00542638">
      <w:pPr>
        <w:spacing w:line="276" w:lineRule="auto"/>
        <w:rPr>
          <w:rFonts w:ascii="Calibri" w:hAnsi="Calibri"/>
          <w:b/>
          <w:bCs/>
          <w:sz w:val="22"/>
          <w:szCs w:val="22"/>
        </w:rPr>
      </w:pPr>
      <w:r>
        <w:rPr>
          <w:rFonts w:asciiTheme="minorHAnsi" w:hAnsiTheme="minorHAnsi" w:cstheme="minorHAnsi"/>
          <w:sz w:val="22"/>
          <w:szCs w:val="22"/>
        </w:rPr>
        <w:br/>
        <w:t>The meeting then ended.</w:t>
      </w:r>
    </w:p>
    <w:p w:rsidR="002E797D" w:rsidRPr="002E797D" w:rsidRDefault="002E797D" w:rsidP="00542638">
      <w:pPr>
        <w:spacing w:line="276" w:lineRule="auto"/>
        <w:rPr>
          <w:rFonts w:ascii="Calibri" w:hAnsi="Calibri"/>
          <w:sz w:val="22"/>
          <w:szCs w:val="22"/>
        </w:rPr>
      </w:pPr>
    </w:p>
    <w:sectPr w:rsidR="002E797D" w:rsidRPr="002E797D" w:rsidSect="002A4D11">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E9" w:rsidRDefault="001012E9" w:rsidP="002A4D11">
      <w:r>
        <w:separator/>
      </w:r>
    </w:p>
  </w:endnote>
  <w:endnote w:type="continuationSeparator" w:id="0">
    <w:p w:rsidR="001012E9" w:rsidRDefault="001012E9" w:rsidP="002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70060"/>
      <w:docPartObj>
        <w:docPartGallery w:val="Page Numbers (Bottom of Page)"/>
        <w:docPartUnique/>
      </w:docPartObj>
    </w:sdtPr>
    <w:sdtEndPr>
      <w:rPr>
        <w:noProof/>
      </w:rPr>
    </w:sdtEndPr>
    <w:sdtContent>
      <w:p w:rsidR="000B67E7" w:rsidRDefault="000B6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22CAE" w:rsidRDefault="0022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E9" w:rsidRDefault="001012E9" w:rsidP="002A4D11">
      <w:r>
        <w:separator/>
      </w:r>
    </w:p>
  </w:footnote>
  <w:footnote w:type="continuationSeparator" w:id="0">
    <w:p w:rsidR="001012E9" w:rsidRDefault="001012E9" w:rsidP="002A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CAE" w:rsidRDefault="0022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62B5"/>
    <w:multiLevelType w:val="hybridMultilevel"/>
    <w:tmpl w:val="274C0CA4"/>
    <w:lvl w:ilvl="0" w:tplc="6ED8F5B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C3C83"/>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10A92"/>
    <w:multiLevelType w:val="hybridMultilevel"/>
    <w:tmpl w:val="9072FA94"/>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F317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1F3687"/>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022EE4"/>
    <w:multiLevelType w:val="hybridMultilevel"/>
    <w:tmpl w:val="44468D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04C49BE"/>
    <w:multiLevelType w:val="hybridMultilevel"/>
    <w:tmpl w:val="822C6B8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870E55"/>
    <w:multiLevelType w:val="hybridMultilevel"/>
    <w:tmpl w:val="BD14530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E32895"/>
    <w:multiLevelType w:val="hybridMultilevel"/>
    <w:tmpl w:val="0FAEE3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6AB22B9"/>
    <w:multiLevelType w:val="hybridMultilevel"/>
    <w:tmpl w:val="A7D642F0"/>
    <w:lvl w:ilvl="0" w:tplc="7DD0104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0867CA"/>
    <w:multiLevelType w:val="hybridMultilevel"/>
    <w:tmpl w:val="273A374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5C147F"/>
    <w:multiLevelType w:val="hybridMultilevel"/>
    <w:tmpl w:val="0A666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300062"/>
    <w:multiLevelType w:val="hybridMultilevel"/>
    <w:tmpl w:val="9AA65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641405"/>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EB96692"/>
    <w:multiLevelType w:val="hybridMultilevel"/>
    <w:tmpl w:val="BB265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06323F3"/>
    <w:multiLevelType w:val="hybridMultilevel"/>
    <w:tmpl w:val="7D7A19CC"/>
    <w:lvl w:ilvl="0" w:tplc="9D043200">
      <w:start w:val="1"/>
      <w:numFmt w:val="lowerLetter"/>
      <w:lvlText w:val="%1)"/>
      <w:lvlJc w:val="left"/>
      <w:pPr>
        <w:ind w:left="2520" w:hanging="360"/>
      </w:pPr>
      <w:rPr>
        <w:rFonts w:hint="default"/>
      </w:r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6" w15:restartNumberingAfterBreak="0">
    <w:nsid w:val="526A7F99"/>
    <w:multiLevelType w:val="hybridMultilevel"/>
    <w:tmpl w:val="D59C70EC"/>
    <w:lvl w:ilvl="0" w:tplc="679A18B6">
      <w:start w:val="1"/>
      <w:numFmt w:val="decimal"/>
      <w:lvlText w:val="2.%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892284F"/>
    <w:multiLevelType w:val="hybridMultilevel"/>
    <w:tmpl w:val="57F6D1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E37319B"/>
    <w:multiLevelType w:val="hybridMultilevel"/>
    <w:tmpl w:val="F3280FC2"/>
    <w:lvl w:ilvl="0" w:tplc="FC34DCA0">
      <w:start w:val="1"/>
      <w:numFmt w:val="lowerLetter"/>
      <w:lvlText w:val="%1)"/>
      <w:lvlJc w:val="left"/>
      <w:pPr>
        <w:ind w:left="1800" w:hanging="360"/>
      </w:pPr>
      <w:rPr>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9" w15:restartNumberingAfterBreak="0">
    <w:nsid w:val="61110BA8"/>
    <w:multiLevelType w:val="hybridMultilevel"/>
    <w:tmpl w:val="7FB6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3FE5A59"/>
    <w:multiLevelType w:val="hybridMultilevel"/>
    <w:tmpl w:val="5F1E98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416689"/>
    <w:multiLevelType w:val="hybridMultilevel"/>
    <w:tmpl w:val="4BAA1DF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BDC294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DCD2C31"/>
    <w:multiLevelType w:val="multilevel"/>
    <w:tmpl w:val="19B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532BB"/>
    <w:multiLevelType w:val="hybridMultilevel"/>
    <w:tmpl w:val="D7686310"/>
    <w:lvl w:ilvl="0" w:tplc="18090011">
      <w:start w:val="1"/>
      <w:numFmt w:val="decimal"/>
      <w:lvlText w:val="%1)"/>
      <w:lvlJc w:val="left"/>
      <w:pPr>
        <w:ind w:left="360" w:hanging="360"/>
      </w:p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start w:val="1"/>
      <w:numFmt w:val="decimal"/>
      <w:lvlText w:val="%4."/>
      <w:lvlJc w:val="left"/>
      <w:pPr>
        <w:ind w:left="4680" w:hanging="360"/>
      </w:pPr>
    </w:lvl>
    <w:lvl w:ilvl="4" w:tplc="18090019">
      <w:start w:val="1"/>
      <w:numFmt w:val="lowerLetter"/>
      <w:lvlText w:val="%5."/>
      <w:lvlJc w:val="left"/>
      <w:pPr>
        <w:ind w:left="5400" w:hanging="360"/>
      </w:pPr>
    </w:lvl>
    <w:lvl w:ilvl="5" w:tplc="1809001B">
      <w:start w:val="1"/>
      <w:numFmt w:val="lowerRoman"/>
      <w:lvlText w:val="%6."/>
      <w:lvlJc w:val="right"/>
      <w:pPr>
        <w:ind w:left="6120" w:hanging="180"/>
      </w:pPr>
    </w:lvl>
    <w:lvl w:ilvl="6" w:tplc="1809000F">
      <w:start w:val="1"/>
      <w:numFmt w:val="decimal"/>
      <w:lvlText w:val="%7."/>
      <w:lvlJc w:val="left"/>
      <w:pPr>
        <w:ind w:left="6840" w:hanging="360"/>
      </w:pPr>
    </w:lvl>
    <w:lvl w:ilvl="7" w:tplc="18090019">
      <w:start w:val="1"/>
      <w:numFmt w:val="lowerLetter"/>
      <w:lvlText w:val="%8."/>
      <w:lvlJc w:val="left"/>
      <w:pPr>
        <w:ind w:left="7560" w:hanging="360"/>
      </w:pPr>
    </w:lvl>
    <w:lvl w:ilvl="8" w:tplc="1809001B">
      <w:start w:val="1"/>
      <w:numFmt w:val="lowerRoman"/>
      <w:lvlText w:val="%9."/>
      <w:lvlJc w:val="right"/>
      <w:pPr>
        <w:ind w:left="8280" w:hanging="180"/>
      </w:pPr>
    </w:lvl>
  </w:abstractNum>
  <w:abstractNum w:abstractNumId="25" w15:restartNumberingAfterBreak="0">
    <w:nsid w:val="71AA4445"/>
    <w:multiLevelType w:val="hybridMultilevel"/>
    <w:tmpl w:val="843ECA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77570B2A"/>
    <w:multiLevelType w:val="hybridMultilevel"/>
    <w:tmpl w:val="314C93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EDB68BD"/>
    <w:multiLevelType w:val="hybridMultilevel"/>
    <w:tmpl w:val="C2FAAA46"/>
    <w:lvl w:ilvl="0" w:tplc="F04065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9"/>
  </w:num>
  <w:num w:numId="2">
    <w:abstractNumId w:val="21"/>
  </w:num>
  <w:num w:numId="3">
    <w:abstractNumId w:val="16"/>
  </w:num>
  <w:num w:numId="4">
    <w:abstractNumId w:val="0"/>
  </w:num>
  <w:num w:numId="5">
    <w:abstractNumId w:val="26"/>
  </w:num>
  <w:num w:numId="6">
    <w:abstractNumId w:val="8"/>
  </w:num>
  <w:num w:numId="7">
    <w:abstractNumId w:val="18"/>
  </w:num>
  <w:num w:numId="8">
    <w:abstractNumId w:val="13"/>
  </w:num>
  <w:num w:numId="9">
    <w:abstractNumId w:val="3"/>
  </w:num>
  <w:num w:numId="10">
    <w:abstractNumId w:val="22"/>
  </w:num>
  <w:num w:numId="11">
    <w:abstractNumId w:val="6"/>
  </w:num>
  <w:num w:numId="12">
    <w:abstractNumId w:val="20"/>
  </w:num>
  <w:num w:numId="13">
    <w:abstractNumId w:val="2"/>
  </w:num>
  <w:num w:numId="14">
    <w:abstractNumId w:val="24"/>
  </w:num>
  <w:num w:numId="15">
    <w:abstractNumId w:val="7"/>
  </w:num>
  <w:num w:numId="16">
    <w:abstractNumId w:val="10"/>
  </w:num>
  <w:num w:numId="17">
    <w:abstractNumId w:val="15"/>
  </w:num>
  <w:num w:numId="18">
    <w:abstractNumId w:val="27"/>
  </w:num>
  <w:num w:numId="19">
    <w:abstractNumId w:val="4"/>
  </w:num>
  <w:num w:numId="20">
    <w:abstractNumId w:val="25"/>
  </w:num>
  <w:num w:numId="21">
    <w:abstractNumId w:val="1"/>
  </w:num>
  <w:num w:numId="22">
    <w:abstractNumId w:val="12"/>
  </w:num>
  <w:num w:numId="23">
    <w:abstractNumId w:val="19"/>
  </w:num>
  <w:num w:numId="24">
    <w:abstractNumId w:val="17"/>
  </w:num>
  <w:num w:numId="25">
    <w:abstractNumId w:val="23"/>
  </w:num>
  <w:num w:numId="26">
    <w:abstractNumId w:val="14"/>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8A"/>
    <w:rsid w:val="00011C53"/>
    <w:rsid w:val="00013FB5"/>
    <w:rsid w:val="00015FEF"/>
    <w:rsid w:val="0003314A"/>
    <w:rsid w:val="00033FCE"/>
    <w:rsid w:val="00035588"/>
    <w:rsid w:val="000447CA"/>
    <w:rsid w:val="00051276"/>
    <w:rsid w:val="0005762E"/>
    <w:rsid w:val="00067ABD"/>
    <w:rsid w:val="00073331"/>
    <w:rsid w:val="00083ADA"/>
    <w:rsid w:val="00087009"/>
    <w:rsid w:val="0009526B"/>
    <w:rsid w:val="000A40EE"/>
    <w:rsid w:val="000A6C7D"/>
    <w:rsid w:val="000B3823"/>
    <w:rsid w:val="000B51FA"/>
    <w:rsid w:val="000B67E7"/>
    <w:rsid w:val="000D3C80"/>
    <w:rsid w:val="000D4C13"/>
    <w:rsid w:val="000D68BF"/>
    <w:rsid w:val="000E0A6B"/>
    <w:rsid w:val="000E13BA"/>
    <w:rsid w:val="000F785C"/>
    <w:rsid w:val="001012E9"/>
    <w:rsid w:val="0010638C"/>
    <w:rsid w:val="00120513"/>
    <w:rsid w:val="001230F1"/>
    <w:rsid w:val="00127468"/>
    <w:rsid w:val="001477B0"/>
    <w:rsid w:val="0015168F"/>
    <w:rsid w:val="0015501F"/>
    <w:rsid w:val="00165AE0"/>
    <w:rsid w:val="00166F6B"/>
    <w:rsid w:val="00185F21"/>
    <w:rsid w:val="00192FFB"/>
    <w:rsid w:val="001B4A4A"/>
    <w:rsid w:val="001C6329"/>
    <w:rsid w:val="001E5064"/>
    <w:rsid w:val="001E6021"/>
    <w:rsid w:val="001E7D1A"/>
    <w:rsid w:val="002043AC"/>
    <w:rsid w:val="00222333"/>
    <w:rsid w:val="0022276D"/>
    <w:rsid w:val="00222CAE"/>
    <w:rsid w:val="0022589F"/>
    <w:rsid w:val="00235069"/>
    <w:rsid w:val="00237AFA"/>
    <w:rsid w:val="002405F1"/>
    <w:rsid w:val="002410D9"/>
    <w:rsid w:val="0025394E"/>
    <w:rsid w:val="002703A2"/>
    <w:rsid w:val="00275C00"/>
    <w:rsid w:val="00277DB1"/>
    <w:rsid w:val="002817A1"/>
    <w:rsid w:val="00292953"/>
    <w:rsid w:val="00296001"/>
    <w:rsid w:val="002A27A1"/>
    <w:rsid w:val="002A4D11"/>
    <w:rsid w:val="002A6904"/>
    <w:rsid w:val="002B724F"/>
    <w:rsid w:val="002C6DFA"/>
    <w:rsid w:val="002C77A7"/>
    <w:rsid w:val="002D0B2F"/>
    <w:rsid w:val="002D498A"/>
    <w:rsid w:val="002E2645"/>
    <w:rsid w:val="002E29E6"/>
    <w:rsid w:val="002E6A6A"/>
    <w:rsid w:val="002E797D"/>
    <w:rsid w:val="00311990"/>
    <w:rsid w:val="00313B06"/>
    <w:rsid w:val="00313BE1"/>
    <w:rsid w:val="00333699"/>
    <w:rsid w:val="0033406D"/>
    <w:rsid w:val="0035006D"/>
    <w:rsid w:val="00351FFE"/>
    <w:rsid w:val="00356520"/>
    <w:rsid w:val="00357787"/>
    <w:rsid w:val="00374E2E"/>
    <w:rsid w:val="003A051D"/>
    <w:rsid w:val="003A1370"/>
    <w:rsid w:val="003A3E53"/>
    <w:rsid w:val="003A60FB"/>
    <w:rsid w:val="003A6B3B"/>
    <w:rsid w:val="003A6BF8"/>
    <w:rsid w:val="003B0DCF"/>
    <w:rsid w:val="003C0829"/>
    <w:rsid w:val="003C315D"/>
    <w:rsid w:val="003D0042"/>
    <w:rsid w:val="003D1A56"/>
    <w:rsid w:val="003E1F89"/>
    <w:rsid w:val="003F54A3"/>
    <w:rsid w:val="00400064"/>
    <w:rsid w:val="004025F5"/>
    <w:rsid w:val="00407F40"/>
    <w:rsid w:val="0042344F"/>
    <w:rsid w:val="00432C3E"/>
    <w:rsid w:val="004502A3"/>
    <w:rsid w:val="00454A55"/>
    <w:rsid w:val="00480103"/>
    <w:rsid w:val="0048342D"/>
    <w:rsid w:val="00492826"/>
    <w:rsid w:val="004971BD"/>
    <w:rsid w:val="004B62E3"/>
    <w:rsid w:val="004C7002"/>
    <w:rsid w:val="004D409E"/>
    <w:rsid w:val="004E25FF"/>
    <w:rsid w:val="004E3E12"/>
    <w:rsid w:val="004E3E89"/>
    <w:rsid w:val="004E66A8"/>
    <w:rsid w:val="004F11B4"/>
    <w:rsid w:val="004F5748"/>
    <w:rsid w:val="005328A7"/>
    <w:rsid w:val="005374B1"/>
    <w:rsid w:val="00542638"/>
    <w:rsid w:val="005429ED"/>
    <w:rsid w:val="00554654"/>
    <w:rsid w:val="00567325"/>
    <w:rsid w:val="00571701"/>
    <w:rsid w:val="005841CD"/>
    <w:rsid w:val="00590123"/>
    <w:rsid w:val="005935E2"/>
    <w:rsid w:val="005A1349"/>
    <w:rsid w:val="005A5CEB"/>
    <w:rsid w:val="005E2316"/>
    <w:rsid w:val="005E2A87"/>
    <w:rsid w:val="005E2D23"/>
    <w:rsid w:val="005F0297"/>
    <w:rsid w:val="006063B5"/>
    <w:rsid w:val="006076BD"/>
    <w:rsid w:val="00610B7C"/>
    <w:rsid w:val="00627DED"/>
    <w:rsid w:val="00634A79"/>
    <w:rsid w:val="00640A1E"/>
    <w:rsid w:val="00647775"/>
    <w:rsid w:val="00647C7B"/>
    <w:rsid w:val="00651BB8"/>
    <w:rsid w:val="00667424"/>
    <w:rsid w:val="00675A54"/>
    <w:rsid w:val="0068511C"/>
    <w:rsid w:val="006853C8"/>
    <w:rsid w:val="00690A4A"/>
    <w:rsid w:val="0069299C"/>
    <w:rsid w:val="00696B97"/>
    <w:rsid w:val="006A4411"/>
    <w:rsid w:val="006A6CA8"/>
    <w:rsid w:val="006B3BEA"/>
    <w:rsid w:val="006B481C"/>
    <w:rsid w:val="006C3150"/>
    <w:rsid w:val="006C7A8E"/>
    <w:rsid w:val="006E1325"/>
    <w:rsid w:val="006E5413"/>
    <w:rsid w:val="006F7D78"/>
    <w:rsid w:val="006F7EF4"/>
    <w:rsid w:val="0070681D"/>
    <w:rsid w:val="0071175C"/>
    <w:rsid w:val="00717E57"/>
    <w:rsid w:val="00724D39"/>
    <w:rsid w:val="00725C85"/>
    <w:rsid w:val="0073302C"/>
    <w:rsid w:val="0073408A"/>
    <w:rsid w:val="00735A77"/>
    <w:rsid w:val="00740461"/>
    <w:rsid w:val="00742B90"/>
    <w:rsid w:val="007434A9"/>
    <w:rsid w:val="00744E6D"/>
    <w:rsid w:val="00745D9A"/>
    <w:rsid w:val="00761181"/>
    <w:rsid w:val="00776DBC"/>
    <w:rsid w:val="007C3C22"/>
    <w:rsid w:val="007F3A02"/>
    <w:rsid w:val="008007CA"/>
    <w:rsid w:val="00812149"/>
    <w:rsid w:val="0081267E"/>
    <w:rsid w:val="00813EEF"/>
    <w:rsid w:val="00843F01"/>
    <w:rsid w:val="008473D1"/>
    <w:rsid w:val="00852FFE"/>
    <w:rsid w:val="00854D90"/>
    <w:rsid w:val="00856687"/>
    <w:rsid w:val="0085745B"/>
    <w:rsid w:val="00867B07"/>
    <w:rsid w:val="00867D33"/>
    <w:rsid w:val="00892D06"/>
    <w:rsid w:val="0089588D"/>
    <w:rsid w:val="008B0749"/>
    <w:rsid w:val="008D7E06"/>
    <w:rsid w:val="008E0CFA"/>
    <w:rsid w:val="008E1C68"/>
    <w:rsid w:val="008F007F"/>
    <w:rsid w:val="00912E73"/>
    <w:rsid w:val="00915F64"/>
    <w:rsid w:val="0094453F"/>
    <w:rsid w:val="00944A56"/>
    <w:rsid w:val="009476F0"/>
    <w:rsid w:val="0094785A"/>
    <w:rsid w:val="0096711E"/>
    <w:rsid w:val="009708F9"/>
    <w:rsid w:val="009726F1"/>
    <w:rsid w:val="00973645"/>
    <w:rsid w:val="00990CBF"/>
    <w:rsid w:val="009A3128"/>
    <w:rsid w:val="009A7959"/>
    <w:rsid w:val="009B06DB"/>
    <w:rsid w:val="009C0323"/>
    <w:rsid w:val="009C13FF"/>
    <w:rsid w:val="009D7C7A"/>
    <w:rsid w:val="009E14BC"/>
    <w:rsid w:val="009E3C98"/>
    <w:rsid w:val="009F76B2"/>
    <w:rsid w:val="00A108DF"/>
    <w:rsid w:val="00A1150F"/>
    <w:rsid w:val="00A26E68"/>
    <w:rsid w:val="00A35E38"/>
    <w:rsid w:val="00A420BB"/>
    <w:rsid w:val="00A47E61"/>
    <w:rsid w:val="00A500BB"/>
    <w:rsid w:val="00A518B0"/>
    <w:rsid w:val="00A52FB5"/>
    <w:rsid w:val="00A53A1F"/>
    <w:rsid w:val="00A619A4"/>
    <w:rsid w:val="00A63321"/>
    <w:rsid w:val="00A6608A"/>
    <w:rsid w:val="00A72A1D"/>
    <w:rsid w:val="00A749B6"/>
    <w:rsid w:val="00A75586"/>
    <w:rsid w:val="00A765DC"/>
    <w:rsid w:val="00A85AF3"/>
    <w:rsid w:val="00A97DF2"/>
    <w:rsid w:val="00AB36AE"/>
    <w:rsid w:val="00AB38FB"/>
    <w:rsid w:val="00AB4A30"/>
    <w:rsid w:val="00AB59FA"/>
    <w:rsid w:val="00AC017E"/>
    <w:rsid w:val="00AC275F"/>
    <w:rsid w:val="00AD3D09"/>
    <w:rsid w:val="00AE0D45"/>
    <w:rsid w:val="00AE1645"/>
    <w:rsid w:val="00AF0134"/>
    <w:rsid w:val="00AF1475"/>
    <w:rsid w:val="00AF2445"/>
    <w:rsid w:val="00B02B10"/>
    <w:rsid w:val="00B1402F"/>
    <w:rsid w:val="00B2437C"/>
    <w:rsid w:val="00B25F4D"/>
    <w:rsid w:val="00B5168B"/>
    <w:rsid w:val="00B52931"/>
    <w:rsid w:val="00B576EE"/>
    <w:rsid w:val="00B713EE"/>
    <w:rsid w:val="00B722C5"/>
    <w:rsid w:val="00B95014"/>
    <w:rsid w:val="00B9589B"/>
    <w:rsid w:val="00B97178"/>
    <w:rsid w:val="00BB453E"/>
    <w:rsid w:val="00BB5BD8"/>
    <w:rsid w:val="00BC35D1"/>
    <w:rsid w:val="00BD100C"/>
    <w:rsid w:val="00BE50D7"/>
    <w:rsid w:val="00BF268A"/>
    <w:rsid w:val="00BF3A1D"/>
    <w:rsid w:val="00BF4EDF"/>
    <w:rsid w:val="00BF53E2"/>
    <w:rsid w:val="00C0792B"/>
    <w:rsid w:val="00C23DE5"/>
    <w:rsid w:val="00C30032"/>
    <w:rsid w:val="00C3361F"/>
    <w:rsid w:val="00C33AFD"/>
    <w:rsid w:val="00C46F28"/>
    <w:rsid w:val="00C54454"/>
    <w:rsid w:val="00C5536E"/>
    <w:rsid w:val="00C66BDE"/>
    <w:rsid w:val="00C7478D"/>
    <w:rsid w:val="00C77762"/>
    <w:rsid w:val="00CA6DFC"/>
    <w:rsid w:val="00CB076E"/>
    <w:rsid w:val="00CC4BB0"/>
    <w:rsid w:val="00CE3036"/>
    <w:rsid w:val="00CE56C0"/>
    <w:rsid w:val="00CE61D7"/>
    <w:rsid w:val="00CE7C38"/>
    <w:rsid w:val="00D02A20"/>
    <w:rsid w:val="00D360A5"/>
    <w:rsid w:val="00D54DFB"/>
    <w:rsid w:val="00D6712A"/>
    <w:rsid w:val="00D83378"/>
    <w:rsid w:val="00D97CA1"/>
    <w:rsid w:val="00DA0602"/>
    <w:rsid w:val="00DD3BC6"/>
    <w:rsid w:val="00DD7018"/>
    <w:rsid w:val="00DE3FA0"/>
    <w:rsid w:val="00E00505"/>
    <w:rsid w:val="00E01ADD"/>
    <w:rsid w:val="00E0364F"/>
    <w:rsid w:val="00E079DE"/>
    <w:rsid w:val="00E15479"/>
    <w:rsid w:val="00E16D8B"/>
    <w:rsid w:val="00E32254"/>
    <w:rsid w:val="00E35016"/>
    <w:rsid w:val="00E41DBF"/>
    <w:rsid w:val="00E47D8A"/>
    <w:rsid w:val="00E53510"/>
    <w:rsid w:val="00E61341"/>
    <w:rsid w:val="00E73DBD"/>
    <w:rsid w:val="00E8147E"/>
    <w:rsid w:val="00E90A84"/>
    <w:rsid w:val="00EB3DAA"/>
    <w:rsid w:val="00EE0323"/>
    <w:rsid w:val="00EE2566"/>
    <w:rsid w:val="00EE68AA"/>
    <w:rsid w:val="00EF4871"/>
    <w:rsid w:val="00F04B60"/>
    <w:rsid w:val="00F17557"/>
    <w:rsid w:val="00F20159"/>
    <w:rsid w:val="00F2384A"/>
    <w:rsid w:val="00F30DEE"/>
    <w:rsid w:val="00F34124"/>
    <w:rsid w:val="00F3751D"/>
    <w:rsid w:val="00F45266"/>
    <w:rsid w:val="00F54C96"/>
    <w:rsid w:val="00F64E38"/>
    <w:rsid w:val="00F74B85"/>
    <w:rsid w:val="00F91B29"/>
    <w:rsid w:val="00F979BE"/>
    <w:rsid w:val="00FF2648"/>
    <w:rsid w:val="00FF2E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5:docId w15:val="{EEA6181A-82FB-442F-A8CD-C3AE1B81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link w:val="BodyTextIndent2Char"/>
    <w:semiHidden/>
    <w:pPr>
      <w:pBdr>
        <w:top w:val="single" w:sz="4" w:space="1" w:color="auto" w:shadow="1"/>
        <w:left w:val="single" w:sz="4" w:space="4" w:color="auto" w:shadow="1"/>
        <w:bottom w:val="single" w:sz="4" w:space="1" w:color="auto" w:shadow="1"/>
        <w:right w:val="single" w:sz="4" w:space="4" w:color="auto" w:shadow="1"/>
      </w:pBdr>
      <w:ind w:left="360" w:hanging="360"/>
    </w:pPr>
  </w:style>
  <w:style w:type="paragraph" w:styleId="BalloonText">
    <w:name w:val="Balloon Text"/>
    <w:basedOn w:val="Normal"/>
    <w:link w:val="BalloonTextChar"/>
    <w:uiPriority w:val="99"/>
    <w:semiHidden/>
    <w:unhideWhenUsed/>
    <w:rsid w:val="00627DED"/>
    <w:rPr>
      <w:rFonts w:ascii="Tahoma" w:hAnsi="Tahoma" w:cs="Tahoma"/>
      <w:sz w:val="16"/>
      <w:szCs w:val="16"/>
    </w:rPr>
  </w:style>
  <w:style w:type="character" w:customStyle="1" w:styleId="BalloonTextChar">
    <w:name w:val="Balloon Text Char"/>
    <w:link w:val="BalloonText"/>
    <w:uiPriority w:val="99"/>
    <w:semiHidden/>
    <w:rsid w:val="00627DED"/>
    <w:rPr>
      <w:rFonts w:ascii="Tahoma" w:hAnsi="Tahoma" w:cs="Tahoma"/>
      <w:sz w:val="16"/>
      <w:szCs w:val="16"/>
      <w:lang w:eastAsia="en-US"/>
    </w:rPr>
  </w:style>
  <w:style w:type="paragraph" w:styleId="ListParagraph">
    <w:name w:val="List Paragraph"/>
    <w:basedOn w:val="Normal"/>
    <w:uiPriority w:val="34"/>
    <w:qFormat/>
    <w:rsid w:val="005F029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A4D11"/>
    <w:pPr>
      <w:tabs>
        <w:tab w:val="center" w:pos="4513"/>
        <w:tab w:val="right" w:pos="9026"/>
      </w:tabs>
    </w:pPr>
  </w:style>
  <w:style w:type="character" w:customStyle="1" w:styleId="HeaderChar">
    <w:name w:val="Header Char"/>
    <w:link w:val="Header"/>
    <w:uiPriority w:val="99"/>
    <w:rsid w:val="002A4D11"/>
    <w:rPr>
      <w:sz w:val="24"/>
      <w:szCs w:val="24"/>
      <w:lang w:eastAsia="en-US"/>
    </w:rPr>
  </w:style>
  <w:style w:type="paragraph" w:styleId="Footer">
    <w:name w:val="footer"/>
    <w:basedOn w:val="Normal"/>
    <w:link w:val="FooterChar"/>
    <w:uiPriority w:val="99"/>
    <w:unhideWhenUsed/>
    <w:rsid w:val="002A4D11"/>
    <w:pPr>
      <w:tabs>
        <w:tab w:val="center" w:pos="4513"/>
        <w:tab w:val="right" w:pos="9026"/>
      </w:tabs>
    </w:pPr>
  </w:style>
  <w:style w:type="character" w:customStyle="1" w:styleId="FooterChar">
    <w:name w:val="Footer Char"/>
    <w:link w:val="Footer"/>
    <w:uiPriority w:val="99"/>
    <w:rsid w:val="002A4D11"/>
    <w:rPr>
      <w:sz w:val="24"/>
      <w:szCs w:val="24"/>
      <w:lang w:eastAsia="en-US"/>
    </w:rPr>
  </w:style>
  <w:style w:type="table" w:styleId="TableGrid">
    <w:name w:val="Table Grid"/>
    <w:basedOn w:val="TableNormal"/>
    <w:uiPriority w:val="59"/>
    <w:rsid w:val="002A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semiHidden/>
    <w:rsid w:val="00035588"/>
    <w:rPr>
      <w:sz w:val="24"/>
      <w:szCs w:val="24"/>
      <w:lang w:eastAsia="en-US"/>
    </w:rPr>
  </w:style>
  <w:style w:type="character" w:styleId="Hyperlink">
    <w:name w:val="Hyperlink"/>
    <w:basedOn w:val="DefaultParagraphFont"/>
    <w:uiPriority w:val="99"/>
    <w:unhideWhenUsed/>
    <w:rsid w:val="004502A3"/>
    <w:rPr>
      <w:color w:val="0000FF" w:themeColor="hyperlink"/>
      <w:u w:val="single"/>
    </w:rPr>
  </w:style>
  <w:style w:type="paragraph" w:styleId="NormalWeb">
    <w:name w:val="Normal (Web)"/>
    <w:basedOn w:val="Normal"/>
    <w:uiPriority w:val="99"/>
    <w:semiHidden/>
    <w:unhideWhenUsed/>
    <w:rsid w:val="003C315D"/>
    <w:pPr>
      <w:spacing w:before="100" w:beforeAutospacing="1" w:after="100" w:afterAutospacing="1"/>
    </w:pPr>
    <w:rPr>
      <w:lang w:eastAsia="en-IE"/>
    </w:rPr>
  </w:style>
  <w:style w:type="character" w:styleId="Strong">
    <w:name w:val="Strong"/>
    <w:basedOn w:val="DefaultParagraphFont"/>
    <w:uiPriority w:val="22"/>
    <w:qFormat/>
    <w:rsid w:val="003C315D"/>
    <w:rPr>
      <w:b/>
      <w:bCs/>
    </w:rPr>
  </w:style>
  <w:style w:type="character" w:styleId="Emphasis">
    <w:name w:val="Emphasis"/>
    <w:basedOn w:val="DefaultParagraphFont"/>
    <w:uiPriority w:val="20"/>
    <w:qFormat/>
    <w:rsid w:val="003C315D"/>
    <w:rPr>
      <w:i/>
      <w:iCs/>
    </w:rPr>
  </w:style>
  <w:style w:type="paragraph" w:customStyle="1" w:styleId="text-18">
    <w:name w:val="text-18"/>
    <w:basedOn w:val="Normal"/>
    <w:rsid w:val="006E5413"/>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046">
      <w:bodyDiv w:val="1"/>
      <w:marLeft w:val="0"/>
      <w:marRight w:val="0"/>
      <w:marTop w:val="0"/>
      <w:marBottom w:val="0"/>
      <w:divBdr>
        <w:top w:val="none" w:sz="0" w:space="0" w:color="auto"/>
        <w:left w:val="none" w:sz="0" w:space="0" w:color="auto"/>
        <w:bottom w:val="none" w:sz="0" w:space="0" w:color="auto"/>
        <w:right w:val="none" w:sz="0" w:space="0" w:color="auto"/>
      </w:divBdr>
    </w:div>
    <w:div w:id="139075939">
      <w:bodyDiv w:val="1"/>
      <w:marLeft w:val="0"/>
      <w:marRight w:val="0"/>
      <w:marTop w:val="0"/>
      <w:marBottom w:val="0"/>
      <w:divBdr>
        <w:top w:val="none" w:sz="0" w:space="0" w:color="auto"/>
        <w:left w:val="none" w:sz="0" w:space="0" w:color="auto"/>
        <w:bottom w:val="none" w:sz="0" w:space="0" w:color="auto"/>
        <w:right w:val="none" w:sz="0" w:space="0" w:color="auto"/>
      </w:divBdr>
    </w:div>
    <w:div w:id="269626015">
      <w:bodyDiv w:val="1"/>
      <w:marLeft w:val="0"/>
      <w:marRight w:val="0"/>
      <w:marTop w:val="0"/>
      <w:marBottom w:val="0"/>
      <w:divBdr>
        <w:top w:val="none" w:sz="0" w:space="0" w:color="auto"/>
        <w:left w:val="none" w:sz="0" w:space="0" w:color="auto"/>
        <w:bottom w:val="none" w:sz="0" w:space="0" w:color="auto"/>
        <w:right w:val="none" w:sz="0" w:space="0" w:color="auto"/>
      </w:divBdr>
    </w:div>
    <w:div w:id="311913911">
      <w:bodyDiv w:val="1"/>
      <w:marLeft w:val="0"/>
      <w:marRight w:val="0"/>
      <w:marTop w:val="0"/>
      <w:marBottom w:val="0"/>
      <w:divBdr>
        <w:top w:val="none" w:sz="0" w:space="0" w:color="auto"/>
        <w:left w:val="none" w:sz="0" w:space="0" w:color="auto"/>
        <w:bottom w:val="none" w:sz="0" w:space="0" w:color="auto"/>
        <w:right w:val="none" w:sz="0" w:space="0" w:color="auto"/>
      </w:divBdr>
    </w:div>
    <w:div w:id="341589264">
      <w:bodyDiv w:val="1"/>
      <w:marLeft w:val="0"/>
      <w:marRight w:val="0"/>
      <w:marTop w:val="0"/>
      <w:marBottom w:val="0"/>
      <w:divBdr>
        <w:top w:val="none" w:sz="0" w:space="0" w:color="auto"/>
        <w:left w:val="none" w:sz="0" w:space="0" w:color="auto"/>
        <w:bottom w:val="none" w:sz="0" w:space="0" w:color="auto"/>
        <w:right w:val="none" w:sz="0" w:space="0" w:color="auto"/>
      </w:divBdr>
    </w:div>
    <w:div w:id="414523380">
      <w:bodyDiv w:val="1"/>
      <w:marLeft w:val="0"/>
      <w:marRight w:val="0"/>
      <w:marTop w:val="0"/>
      <w:marBottom w:val="0"/>
      <w:divBdr>
        <w:top w:val="none" w:sz="0" w:space="0" w:color="auto"/>
        <w:left w:val="none" w:sz="0" w:space="0" w:color="auto"/>
        <w:bottom w:val="none" w:sz="0" w:space="0" w:color="auto"/>
        <w:right w:val="none" w:sz="0" w:space="0" w:color="auto"/>
      </w:divBdr>
    </w:div>
    <w:div w:id="716317691">
      <w:bodyDiv w:val="1"/>
      <w:marLeft w:val="0"/>
      <w:marRight w:val="0"/>
      <w:marTop w:val="0"/>
      <w:marBottom w:val="0"/>
      <w:divBdr>
        <w:top w:val="none" w:sz="0" w:space="0" w:color="auto"/>
        <w:left w:val="none" w:sz="0" w:space="0" w:color="auto"/>
        <w:bottom w:val="none" w:sz="0" w:space="0" w:color="auto"/>
        <w:right w:val="none" w:sz="0" w:space="0" w:color="auto"/>
      </w:divBdr>
      <w:divsChild>
        <w:div w:id="925070916">
          <w:marLeft w:val="0"/>
          <w:marRight w:val="0"/>
          <w:marTop w:val="0"/>
          <w:marBottom w:val="0"/>
          <w:divBdr>
            <w:top w:val="none" w:sz="0" w:space="0" w:color="auto"/>
            <w:left w:val="none" w:sz="0" w:space="0" w:color="auto"/>
            <w:bottom w:val="none" w:sz="0" w:space="0" w:color="auto"/>
            <w:right w:val="none" w:sz="0" w:space="0" w:color="auto"/>
          </w:divBdr>
          <w:divsChild>
            <w:div w:id="1045716429">
              <w:marLeft w:val="0"/>
              <w:marRight w:val="0"/>
              <w:marTop w:val="0"/>
              <w:marBottom w:val="150"/>
              <w:divBdr>
                <w:top w:val="none" w:sz="0" w:space="0" w:color="auto"/>
                <w:left w:val="none" w:sz="0" w:space="0" w:color="auto"/>
                <w:bottom w:val="none" w:sz="0" w:space="0" w:color="auto"/>
                <w:right w:val="none" w:sz="0" w:space="0" w:color="auto"/>
              </w:divBdr>
              <w:divsChild>
                <w:div w:id="523372269">
                  <w:marLeft w:val="0"/>
                  <w:marRight w:val="0"/>
                  <w:marTop w:val="0"/>
                  <w:marBottom w:val="0"/>
                  <w:divBdr>
                    <w:top w:val="none" w:sz="0" w:space="0" w:color="auto"/>
                    <w:left w:val="none" w:sz="0" w:space="0" w:color="auto"/>
                    <w:bottom w:val="none" w:sz="0" w:space="0" w:color="auto"/>
                    <w:right w:val="none" w:sz="0" w:space="0" w:color="auto"/>
                  </w:divBdr>
                  <w:divsChild>
                    <w:div w:id="1084303604">
                      <w:marLeft w:val="0"/>
                      <w:marRight w:val="0"/>
                      <w:marTop w:val="0"/>
                      <w:marBottom w:val="0"/>
                      <w:divBdr>
                        <w:top w:val="none" w:sz="0" w:space="0" w:color="auto"/>
                        <w:left w:val="none" w:sz="0" w:space="0" w:color="auto"/>
                        <w:bottom w:val="none" w:sz="0" w:space="0" w:color="auto"/>
                        <w:right w:val="none" w:sz="0" w:space="0" w:color="auto"/>
                      </w:divBdr>
                      <w:divsChild>
                        <w:div w:id="658116030">
                          <w:marLeft w:val="0"/>
                          <w:marRight w:val="0"/>
                          <w:marTop w:val="0"/>
                          <w:marBottom w:val="0"/>
                          <w:divBdr>
                            <w:top w:val="none" w:sz="0" w:space="0" w:color="auto"/>
                            <w:left w:val="none" w:sz="0" w:space="0" w:color="auto"/>
                            <w:bottom w:val="none" w:sz="0" w:space="0" w:color="auto"/>
                            <w:right w:val="none" w:sz="0" w:space="0" w:color="auto"/>
                          </w:divBdr>
                          <w:divsChild>
                            <w:div w:id="1007561292">
                              <w:marLeft w:val="0"/>
                              <w:marRight w:val="0"/>
                              <w:marTop w:val="0"/>
                              <w:marBottom w:val="0"/>
                              <w:divBdr>
                                <w:top w:val="none" w:sz="0" w:space="0" w:color="auto"/>
                                <w:left w:val="none" w:sz="0" w:space="0" w:color="auto"/>
                                <w:bottom w:val="none" w:sz="0" w:space="0" w:color="auto"/>
                                <w:right w:val="none" w:sz="0" w:space="0" w:color="auto"/>
                              </w:divBdr>
                              <w:divsChild>
                                <w:div w:id="1869639329">
                                  <w:marLeft w:val="0"/>
                                  <w:marRight w:val="-3600"/>
                                  <w:marTop w:val="150"/>
                                  <w:marBottom w:val="0"/>
                                  <w:divBdr>
                                    <w:top w:val="none" w:sz="0" w:space="0" w:color="auto"/>
                                    <w:left w:val="none" w:sz="0" w:space="0" w:color="auto"/>
                                    <w:bottom w:val="none" w:sz="0" w:space="0" w:color="auto"/>
                                    <w:right w:val="none" w:sz="0" w:space="0" w:color="auto"/>
                                  </w:divBdr>
                                  <w:divsChild>
                                    <w:div w:id="613252374">
                                      <w:marLeft w:val="0"/>
                                      <w:marRight w:val="3600"/>
                                      <w:marTop w:val="0"/>
                                      <w:marBottom w:val="0"/>
                                      <w:divBdr>
                                        <w:top w:val="none" w:sz="0" w:space="0" w:color="auto"/>
                                        <w:left w:val="none" w:sz="0" w:space="0" w:color="auto"/>
                                        <w:bottom w:val="none" w:sz="0" w:space="0" w:color="auto"/>
                                        <w:right w:val="none" w:sz="0" w:space="0" w:color="auto"/>
                                      </w:divBdr>
                                      <w:divsChild>
                                        <w:div w:id="1217857834">
                                          <w:marLeft w:val="0"/>
                                          <w:marRight w:val="0"/>
                                          <w:marTop w:val="0"/>
                                          <w:marBottom w:val="0"/>
                                          <w:divBdr>
                                            <w:top w:val="none" w:sz="0" w:space="0" w:color="auto"/>
                                            <w:left w:val="none" w:sz="0" w:space="0" w:color="auto"/>
                                            <w:bottom w:val="none" w:sz="0" w:space="0" w:color="auto"/>
                                            <w:right w:val="none" w:sz="0" w:space="0" w:color="auto"/>
                                          </w:divBdr>
                                          <w:divsChild>
                                            <w:div w:id="160825733">
                                              <w:marLeft w:val="0"/>
                                              <w:marRight w:val="0"/>
                                              <w:marTop w:val="0"/>
                                              <w:marBottom w:val="0"/>
                                              <w:divBdr>
                                                <w:top w:val="none" w:sz="0" w:space="0" w:color="auto"/>
                                                <w:left w:val="none" w:sz="0" w:space="0" w:color="auto"/>
                                                <w:bottom w:val="none" w:sz="0" w:space="0" w:color="auto"/>
                                                <w:right w:val="none" w:sz="0" w:space="0" w:color="auto"/>
                                              </w:divBdr>
                                              <w:divsChild>
                                                <w:div w:id="1639066857">
                                                  <w:marLeft w:val="0"/>
                                                  <w:marRight w:val="0"/>
                                                  <w:marTop w:val="0"/>
                                                  <w:marBottom w:val="0"/>
                                                  <w:divBdr>
                                                    <w:top w:val="none" w:sz="0" w:space="0" w:color="auto"/>
                                                    <w:left w:val="none" w:sz="0" w:space="0" w:color="auto"/>
                                                    <w:bottom w:val="none" w:sz="0" w:space="0" w:color="auto"/>
                                                    <w:right w:val="none" w:sz="0" w:space="0" w:color="auto"/>
                                                  </w:divBdr>
                                                  <w:divsChild>
                                                    <w:div w:id="1185023356">
                                                      <w:marLeft w:val="0"/>
                                                      <w:marRight w:val="0"/>
                                                      <w:marTop w:val="0"/>
                                                      <w:marBottom w:val="0"/>
                                                      <w:divBdr>
                                                        <w:top w:val="none" w:sz="0" w:space="0" w:color="auto"/>
                                                        <w:left w:val="none" w:sz="0" w:space="0" w:color="auto"/>
                                                        <w:bottom w:val="none" w:sz="0" w:space="0" w:color="auto"/>
                                                        <w:right w:val="none" w:sz="0" w:space="0" w:color="auto"/>
                                                      </w:divBdr>
                                                      <w:divsChild>
                                                        <w:div w:id="2257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216199">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1288898998">
      <w:bodyDiv w:val="1"/>
      <w:marLeft w:val="0"/>
      <w:marRight w:val="0"/>
      <w:marTop w:val="0"/>
      <w:marBottom w:val="0"/>
      <w:divBdr>
        <w:top w:val="none" w:sz="0" w:space="0" w:color="auto"/>
        <w:left w:val="none" w:sz="0" w:space="0" w:color="auto"/>
        <w:bottom w:val="none" w:sz="0" w:space="0" w:color="auto"/>
        <w:right w:val="none" w:sz="0" w:space="0" w:color="auto"/>
      </w:divBdr>
    </w:div>
    <w:div w:id="1289629956">
      <w:bodyDiv w:val="1"/>
      <w:marLeft w:val="0"/>
      <w:marRight w:val="0"/>
      <w:marTop w:val="0"/>
      <w:marBottom w:val="0"/>
      <w:divBdr>
        <w:top w:val="none" w:sz="0" w:space="0" w:color="auto"/>
        <w:left w:val="none" w:sz="0" w:space="0" w:color="auto"/>
        <w:bottom w:val="none" w:sz="0" w:space="0" w:color="auto"/>
        <w:right w:val="none" w:sz="0" w:space="0" w:color="auto"/>
      </w:divBdr>
    </w:div>
    <w:div w:id="1401826888">
      <w:bodyDiv w:val="1"/>
      <w:marLeft w:val="0"/>
      <w:marRight w:val="0"/>
      <w:marTop w:val="0"/>
      <w:marBottom w:val="0"/>
      <w:divBdr>
        <w:top w:val="none" w:sz="0" w:space="0" w:color="auto"/>
        <w:left w:val="none" w:sz="0" w:space="0" w:color="auto"/>
        <w:bottom w:val="none" w:sz="0" w:space="0" w:color="auto"/>
        <w:right w:val="none" w:sz="0" w:space="0" w:color="auto"/>
      </w:divBdr>
    </w:div>
    <w:div w:id="1497569790">
      <w:bodyDiv w:val="1"/>
      <w:marLeft w:val="0"/>
      <w:marRight w:val="0"/>
      <w:marTop w:val="0"/>
      <w:marBottom w:val="0"/>
      <w:divBdr>
        <w:top w:val="none" w:sz="0" w:space="0" w:color="auto"/>
        <w:left w:val="none" w:sz="0" w:space="0" w:color="auto"/>
        <w:bottom w:val="none" w:sz="0" w:space="0" w:color="auto"/>
        <w:right w:val="none" w:sz="0" w:space="0" w:color="auto"/>
      </w:divBdr>
    </w:div>
    <w:div w:id="1682274143">
      <w:bodyDiv w:val="1"/>
      <w:marLeft w:val="0"/>
      <w:marRight w:val="0"/>
      <w:marTop w:val="0"/>
      <w:marBottom w:val="0"/>
      <w:divBdr>
        <w:top w:val="none" w:sz="0" w:space="0" w:color="auto"/>
        <w:left w:val="none" w:sz="0" w:space="0" w:color="auto"/>
        <w:bottom w:val="none" w:sz="0" w:space="0" w:color="auto"/>
        <w:right w:val="none" w:sz="0" w:space="0" w:color="auto"/>
      </w:divBdr>
    </w:div>
    <w:div w:id="1885679991">
      <w:bodyDiv w:val="1"/>
      <w:marLeft w:val="0"/>
      <w:marRight w:val="0"/>
      <w:marTop w:val="0"/>
      <w:marBottom w:val="0"/>
      <w:divBdr>
        <w:top w:val="none" w:sz="0" w:space="0" w:color="auto"/>
        <w:left w:val="none" w:sz="0" w:space="0" w:color="auto"/>
        <w:bottom w:val="none" w:sz="0" w:space="0" w:color="auto"/>
        <w:right w:val="none" w:sz="0" w:space="0" w:color="auto"/>
      </w:divBdr>
    </w:div>
    <w:div w:id="1967928440">
      <w:bodyDiv w:val="1"/>
      <w:marLeft w:val="0"/>
      <w:marRight w:val="0"/>
      <w:marTop w:val="0"/>
      <w:marBottom w:val="0"/>
      <w:divBdr>
        <w:top w:val="none" w:sz="0" w:space="0" w:color="auto"/>
        <w:left w:val="none" w:sz="0" w:space="0" w:color="auto"/>
        <w:bottom w:val="none" w:sz="0" w:space="0" w:color="auto"/>
        <w:right w:val="none" w:sz="0" w:space="0" w:color="auto"/>
      </w:divBdr>
    </w:div>
    <w:div w:id="2006937688">
      <w:bodyDiv w:val="1"/>
      <w:marLeft w:val="0"/>
      <w:marRight w:val="0"/>
      <w:marTop w:val="0"/>
      <w:marBottom w:val="0"/>
      <w:divBdr>
        <w:top w:val="none" w:sz="0" w:space="0" w:color="auto"/>
        <w:left w:val="none" w:sz="0" w:space="0" w:color="auto"/>
        <w:bottom w:val="none" w:sz="0" w:space="0" w:color="auto"/>
        <w:right w:val="none" w:sz="0" w:space="0" w:color="auto"/>
      </w:divBdr>
    </w:div>
    <w:div w:id="2108889570">
      <w:bodyDiv w:val="1"/>
      <w:marLeft w:val="0"/>
      <w:marRight w:val="0"/>
      <w:marTop w:val="0"/>
      <w:marBottom w:val="0"/>
      <w:divBdr>
        <w:top w:val="none" w:sz="0" w:space="0" w:color="auto"/>
        <w:left w:val="none" w:sz="0" w:space="0" w:color="auto"/>
        <w:bottom w:val="none" w:sz="0" w:space="0" w:color="auto"/>
        <w:right w:val="none" w:sz="0" w:space="0" w:color="auto"/>
      </w:divBdr>
    </w:div>
    <w:div w:id="21377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ntralbank.ie/docs/default-source/regulation/industry-market-sectors/securities-markets/prospectus-regulation/regulatory-requirements-guidance/guidance-on-prospectus-regulatory-framework.pdf?sfvrsn=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albank.ie/docs/default-source/regulation/industry-market-sectors/securities-markets/prospectus-regulation/regulatory-requirements-guidance/s-i-no-366-of-2019-(update).pdf?sfvrsn=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9/si/380/made/e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lrg@dbei.gov.ie" TargetMode="External"/><Relationship Id="rId4" Type="http://schemas.openxmlformats.org/officeDocument/2006/relationships/settings" Target="settings.xml"/><Relationship Id="rId9" Type="http://schemas.openxmlformats.org/officeDocument/2006/relationships/hyperlink" Target="http://www.clrg.org/Publications/" TargetMode="External"/><Relationship Id="rId14" Type="http://schemas.openxmlformats.org/officeDocument/2006/relationships/hyperlink" Target="https://data.oireachtas.ie/ie/oireachtas/bill/2019/45/eng/initiated/b451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672C-9F37-469B-B4E9-2305661D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2683</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Agenda for the 55th Plenary Meeting of the CLRG</vt:lpstr>
    </vt:vector>
  </TitlesOfParts>
  <Company>Department of Enterprise, Trade and Employment</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55th Plenary Meeting of the CLRG</dc:title>
  <dc:subject/>
  <dc:creator>Department of Enterprise, Trade and Employment</dc:creator>
  <cp:keywords/>
  <dc:description/>
  <cp:lastModifiedBy>Tara Keane</cp:lastModifiedBy>
  <cp:revision>2</cp:revision>
  <cp:lastPrinted>2019-10-04T16:06:00Z</cp:lastPrinted>
  <dcterms:created xsi:type="dcterms:W3CDTF">2020-11-05T13:52:00Z</dcterms:created>
  <dcterms:modified xsi:type="dcterms:W3CDTF">2020-11-05T13:52:00Z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-1234940601</vt:i4>
  </property>
</Properties>
</file>