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11" w:rsidRDefault="005E2A87" w:rsidP="007242AF">
      <w:pPr>
        <w:spacing w:after="240" w:line="259" w:lineRule="auto"/>
        <w:ind w:left="1287" w:hanging="720"/>
        <w:rPr>
          <w:rFonts w:ascii="Calibri" w:hAnsi="Calibri"/>
          <w:b/>
          <w:bCs/>
          <w:sz w:val="28"/>
          <w:szCs w:val="28"/>
        </w:rPr>
      </w:pPr>
      <w:bookmarkStart w:id="0" w:name="_GoBack"/>
      <w:bookmarkEnd w:id="0"/>
      <w:r>
        <w:rPr>
          <w:noProof/>
          <w:lang w:eastAsia="en-IE"/>
        </w:rPr>
        <w:drawing>
          <wp:anchor distT="0" distB="0" distL="114300" distR="114300" simplePos="0" relativeHeight="251657728" behindDoc="0" locked="0" layoutInCell="1" allowOverlap="1" wp14:anchorId="4BC26EE1" wp14:editId="7D2499DB">
            <wp:simplePos x="0" y="0"/>
            <wp:positionH relativeFrom="column">
              <wp:posOffset>-859790</wp:posOffset>
            </wp:positionH>
            <wp:positionV relativeFrom="paragraph">
              <wp:posOffset>-440055</wp:posOffset>
            </wp:positionV>
            <wp:extent cx="1562100" cy="1057275"/>
            <wp:effectExtent l="0" t="0" r="0" b="0"/>
            <wp:wrapSquare wrapText="bothSides"/>
            <wp:docPr id="3" name="Picture 3" descr="CLRG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RG logo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pic:spPr>
                </pic:pic>
              </a:graphicData>
            </a:graphic>
            <wp14:sizeRelH relativeFrom="page">
              <wp14:pctWidth>0</wp14:pctWidth>
            </wp14:sizeRelH>
            <wp14:sizeRelV relativeFrom="page">
              <wp14:pctHeight>0</wp14:pctHeight>
            </wp14:sizeRelV>
          </wp:anchor>
        </w:drawing>
      </w:r>
    </w:p>
    <w:p w:rsidR="007242AF" w:rsidRDefault="007242AF" w:rsidP="007242AF">
      <w:pPr>
        <w:spacing w:after="240" w:line="259" w:lineRule="auto"/>
        <w:ind w:left="1287" w:hanging="720"/>
        <w:rPr>
          <w:rFonts w:ascii="Calibri" w:hAnsi="Calibri"/>
          <w:b/>
          <w:bCs/>
          <w:sz w:val="28"/>
          <w:szCs w:val="28"/>
        </w:rPr>
      </w:pPr>
    </w:p>
    <w:p w:rsidR="00627DED" w:rsidRDefault="0095797E" w:rsidP="007242AF">
      <w:pPr>
        <w:spacing w:after="240" w:line="259" w:lineRule="auto"/>
        <w:ind w:left="567"/>
        <w:jc w:val="center"/>
        <w:rPr>
          <w:rFonts w:ascii="Calibri" w:hAnsi="Calibri"/>
          <w:b/>
          <w:bCs/>
          <w:sz w:val="28"/>
          <w:szCs w:val="28"/>
        </w:rPr>
      </w:pPr>
      <w:r>
        <w:rPr>
          <w:rFonts w:ascii="Calibri" w:hAnsi="Calibri"/>
          <w:b/>
          <w:bCs/>
          <w:sz w:val="28"/>
          <w:szCs w:val="28"/>
        </w:rPr>
        <w:t xml:space="preserve">Minutes of the </w:t>
      </w:r>
      <w:r w:rsidR="00724D39">
        <w:rPr>
          <w:rFonts w:ascii="Calibri" w:hAnsi="Calibri"/>
          <w:b/>
          <w:bCs/>
          <w:sz w:val="28"/>
          <w:szCs w:val="28"/>
        </w:rPr>
        <w:t>8</w:t>
      </w:r>
      <w:r w:rsidR="00B35CEF">
        <w:rPr>
          <w:rFonts w:ascii="Calibri" w:hAnsi="Calibri"/>
          <w:b/>
          <w:bCs/>
          <w:sz w:val="28"/>
          <w:szCs w:val="28"/>
        </w:rPr>
        <w:t>8</w:t>
      </w:r>
      <w:r w:rsidR="006C7A8E">
        <w:rPr>
          <w:rFonts w:ascii="Calibri" w:hAnsi="Calibri"/>
          <w:b/>
          <w:bCs/>
          <w:sz w:val="28"/>
          <w:szCs w:val="28"/>
        </w:rPr>
        <w:t>th</w:t>
      </w:r>
      <w:r w:rsidR="00647C7B">
        <w:rPr>
          <w:rFonts w:ascii="Calibri" w:hAnsi="Calibri"/>
          <w:b/>
          <w:bCs/>
          <w:sz w:val="28"/>
          <w:szCs w:val="28"/>
        </w:rPr>
        <w:t xml:space="preserve"> </w:t>
      </w:r>
      <w:r w:rsidR="00627DED" w:rsidRPr="00F91B29">
        <w:rPr>
          <w:rFonts w:ascii="Calibri" w:hAnsi="Calibri"/>
          <w:b/>
          <w:bCs/>
          <w:sz w:val="28"/>
          <w:szCs w:val="28"/>
        </w:rPr>
        <w:t xml:space="preserve">Plenary Meeting </w:t>
      </w:r>
      <w:r w:rsidR="007242AF">
        <w:rPr>
          <w:rFonts w:ascii="Calibri" w:hAnsi="Calibri"/>
          <w:b/>
          <w:bCs/>
          <w:sz w:val="28"/>
          <w:szCs w:val="28"/>
        </w:rPr>
        <w:br/>
      </w:r>
      <w:r w:rsidR="00627DED" w:rsidRPr="00F91B29">
        <w:rPr>
          <w:rFonts w:ascii="Calibri" w:hAnsi="Calibri"/>
          <w:b/>
          <w:bCs/>
          <w:sz w:val="28"/>
          <w:szCs w:val="28"/>
        </w:rPr>
        <w:t>of the C</w:t>
      </w:r>
      <w:r w:rsidR="002A4D11" w:rsidRPr="00F91B29">
        <w:rPr>
          <w:rFonts w:ascii="Calibri" w:hAnsi="Calibri"/>
          <w:b/>
          <w:bCs/>
          <w:sz w:val="28"/>
          <w:szCs w:val="28"/>
        </w:rPr>
        <w:t>ompany Law Review Group</w:t>
      </w:r>
    </w:p>
    <w:p w:rsidR="002E2645" w:rsidRDefault="002E2645" w:rsidP="007242AF">
      <w:pPr>
        <w:spacing w:after="240" w:line="259" w:lineRule="auto"/>
        <w:rPr>
          <w:rFonts w:ascii="Calibri" w:hAnsi="Calibri"/>
          <w:sz w:val="22"/>
          <w:szCs w:val="22"/>
        </w:rPr>
      </w:pPr>
    </w:p>
    <w:tbl>
      <w:tblPr>
        <w:tblpPr w:leftFromText="180" w:rightFromText="180" w:vertAnchor="text" w:horzAnchor="margin" w:tblpXSpec="right" w:tblpY="-22"/>
        <w:tblW w:w="0" w:type="auto"/>
        <w:tblLook w:val="04A0" w:firstRow="1" w:lastRow="0" w:firstColumn="1" w:lastColumn="0" w:noHBand="0" w:noVBand="1"/>
      </w:tblPr>
      <w:tblGrid>
        <w:gridCol w:w="1951"/>
        <w:gridCol w:w="5987"/>
      </w:tblGrid>
      <w:tr w:rsidR="002E2645" w:rsidRPr="00F91B29" w:rsidTr="007242AF">
        <w:tc>
          <w:tcPr>
            <w:tcW w:w="1951" w:type="dxa"/>
            <w:shd w:val="clear" w:color="auto" w:fill="auto"/>
          </w:tcPr>
          <w:p w:rsidR="002E2645" w:rsidRPr="00F91B29" w:rsidRDefault="002E2645" w:rsidP="007242AF">
            <w:pPr>
              <w:spacing w:after="240" w:line="259" w:lineRule="auto"/>
              <w:rPr>
                <w:rFonts w:ascii="Calibri" w:hAnsi="Calibri"/>
                <w:sz w:val="22"/>
                <w:szCs w:val="22"/>
              </w:rPr>
            </w:pPr>
            <w:r w:rsidRPr="00F91B29">
              <w:rPr>
                <w:rFonts w:ascii="Calibri" w:hAnsi="Calibri"/>
                <w:b/>
                <w:bCs/>
                <w:sz w:val="22"/>
                <w:szCs w:val="22"/>
              </w:rPr>
              <w:t>Date:</w:t>
            </w:r>
            <w:r w:rsidR="0095797E">
              <w:rPr>
                <w:rFonts w:ascii="Calibri" w:hAnsi="Calibri"/>
                <w:sz w:val="22"/>
                <w:szCs w:val="22"/>
              </w:rPr>
              <w:t xml:space="preserve"> </w:t>
            </w:r>
          </w:p>
        </w:tc>
        <w:tc>
          <w:tcPr>
            <w:tcW w:w="5987" w:type="dxa"/>
            <w:shd w:val="clear" w:color="auto" w:fill="auto"/>
          </w:tcPr>
          <w:p w:rsidR="002E2645" w:rsidRPr="00F91B29" w:rsidRDefault="00A63282" w:rsidP="007242AF">
            <w:pPr>
              <w:spacing w:after="240" w:line="259" w:lineRule="auto"/>
              <w:ind w:left="317"/>
              <w:rPr>
                <w:rFonts w:ascii="Calibri" w:hAnsi="Calibri"/>
                <w:sz w:val="22"/>
                <w:szCs w:val="22"/>
              </w:rPr>
            </w:pPr>
            <w:r>
              <w:rPr>
                <w:rFonts w:ascii="Calibri" w:hAnsi="Calibri"/>
                <w:sz w:val="22"/>
                <w:szCs w:val="22"/>
              </w:rPr>
              <w:t>2</w:t>
            </w:r>
            <w:r w:rsidRPr="00A63282">
              <w:rPr>
                <w:rFonts w:ascii="Calibri" w:hAnsi="Calibri"/>
                <w:sz w:val="22"/>
                <w:szCs w:val="22"/>
                <w:vertAlign w:val="superscript"/>
              </w:rPr>
              <w:t>nd</w:t>
            </w:r>
            <w:r>
              <w:rPr>
                <w:rFonts w:ascii="Calibri" w:hAnsi="Calibri"/>
                <w:sz w:val="22"/>
                <w:szCs w:val="22"/>
              </w:rPr>
              <w:t xml:space="preserve"> </w:t>
            </w:r>
            <w:r w:rsidR="00B35CEF">
              <w:rPr>
                <w:rFonts w:ascii="Calibri" w:hAnsi="Calibri"/>
                <w:sz w:val="22"/>
                <w:szCs w:val="22"/>
              </w:rPr>
              <w:t>March</w:t>
            </w:r>
            <w:r w:rsidR="00C66BDE">
              <w:rPr>
                <w:rFonts w:ascii="Calibri" w:hAnsi="Calibri"/>
                <w:sz w:val="22"/>
                <w:szCs w:val="22"/>
              </w:rPr>
              <w:t xml:space="preserve"> </w:t>
            </w:r>
            <w:r w:rsidR="00222CAE">
              <w:rPr>
                <w:rFonts w:ascii="Calibri" w:hAnsi="Calibri"/>
                <w:sz w:val="22"/>
                <w:szCs w:val="22"/>
              </w:rPr>
              <w:t>20</w:t>
            </w:r>
            <w:r w:rsidR="00B35CEF">
              <w:rPr>
                <w:rFonts w:ascii="Calibri" w:hAnsi="Calibri"/>
                <w:sz w:val="22"/>
                <w:szCs w:val="22"/>
              </w:rPr>
              <w:t>20</w:t>
            </w:r>
          </w:p>
        </w:tc>
      </w:tr>
      <w:tr w:rsidR="002E2645" w:rsidRPr="00F91B29" w:rsidTr="007242AF">
        <w:tc>
          <w:tcPr>
            <w:tcW w:w="1951" w:type="dxa"/>
            <w:shd w:val="clear" w:color="auto" w:fill="auto"/>
          </w:tcPr>
          <w:p w:rsidR="002E2645" w:rsidRPr="00F91B29" w:rsidRDefault="002E2645" w:rsidP="007242AF">
            <w:pPr>
              <w:spacing w:after="240" w:line="259" w:lineRule="auto"/>
              <w:rPr>
                <w:rFonts w:ascii="Calibri" w:hAnsi="Calibri"/>
                <w:sz w:val="22"/>
                <w:szCs w:val="22"/>
              </w:rPr>
            </w:pPr>
            <w:r w:rsidRPr="00F91B29">
              <w:rPr>
                <w:rFonts w:ascii="Calibri" w:hAnsi="Calibri"/>
                <w:b/>
                <w:bCs/>
                <w:sz w:val="22"/>
                <w:szCs w:val="22"/>
              </w:rPr>
              <w:t>Time:</w:t>
            </w:r>
            <w:r w:rsidR="0095797E">
              <w:rPr>
                <w:rFonts w:ascii="Calibri" w:hAnsi="Calibri"/>
                <w:sz w:val="22"/>
                <w:szCs w:val="22"/>
              </w:rPr>
              <w:t xml:space="preserve"> </w:t>
            </w:r>
          </w:p>
        </w:tc>
        <w:tc>
          <w:tcPr>
            <w:tcW w:w="5987" w:type="dxa"/>
            <w:shd w:val="clear" w:color="auto" w:fill="auto"/>
          </w:tcPr>
          <w:p w:rsidR="002E2645" w:rsidRPr="00F91B29" w:rsidRDefault="006C7A8E" w:rsidP="007242AF">
            <w:pPr>
              <w:spacing w:after="240" w:line="259" w:lineRule="auto"/>
              <w:ind w:left="317"/>
              <w:rPr>
                <w:rFonts w:ascii="Calibri" w:hAnsi="Calibri"/>
                <w:sz w:val="22"/>
                <w:szCs w:val="22"/>
              </w:rPr>
            </w:pPr>
            <w:r>
              <w:rPr>
                <w:rFonts w:ascii="Calibri" w:hAnsi="Calibri"/>
                <w:sz w:val="22"/>
                <w:szCs w:val="22"/>
              </w:rPr>
              <w:t>10:0</w:t>
            </w:r>
            <w:r w:rsidR="002E2645" w:rsidRPr="00F91B29">
              <w:rPr>
                <w:rFonts w:ascii="Calibri" w:hAnsi="Calibri"/>
                <w:sz w:val="22"/>
                <w:szCs w:val="22"/>
              </w:rPr>
              <w:t>0</w:t>
            </w:r>
            <w:r w:rsidR="00A47E61">
              <w:rPr>
                <w:rFonts w:ascii="Calibri" w:hAnsi="Calibri"/>
                <w:sz w:val="22"/>
                <w:szCs w:val="22"/>
              </w:rPr>
              <w:t>am</w:t>
            </w:r>
            <w:r>
              <w:rPr>
                <w:rFonts w:ascii="Calibri" w:hAnsi="Calibri"/>
                <w:sz w:val="22"/>
                <w:szCs w:val="22"/>
              </w:rPr>
              <w:t xml:space="preserve"> – 12:0</w:t>
            </w:r>
            <w:r w:rsidR="002E2645" w:rsidRPr="00F91B29">
              <w:rPr>
                <w:rFonts w:ascii="Calibri" w:hAnsi="Calibri"/>
                <w:sz w:val="22"/>
                <w:szCs w:val="22"/>
              </w:rPr>
              <w:t>0</w:t>
            </w:r>
            <w:r>
              <w:rPr>
                <w:rFonts w:ascii="Calibri" w:hAnsi="Calibri"/>
                <w:sz w:val="22"/>
                <w:szCs w:val="22"/>
              </w:rPr>
              <w:t>p</w:t>
            </w:r>
            <w:r w:rsidR="00A47E61">
              <w:rPr>
                <w:rFonts w:ascii="Calibri" w:hAnsi="Calibri"/>
                <w:sz w:val="22"/>
                <w:szCs w:val="22"/>
              </w:rPr>
              <w:t>m</w:t>
            </w:r>
          </w:p>
        </w:tc>
      </w:tr>
      <w:tr w:rsidR="002E2645" w:rsidRPr="00F91B29" w:rsidTr="007242AF">
        <w:trPr>
          <w:trHeight w:val="568"/>
        </w:trPr>
        <w:tc>
          <w:tcPr>
            <w:tcW w:w="1951" w:type="dxa"/>
            <w:shd w:val="clear" w:color="auto" w:fill="auto"/>
          </w:tcPr>
          <w:p w:rsidR="002E2645" w:rsidRPr="00F91B29" w:rsidRDefault="0095797E" w:rsidP="007242AF">
            <w:pPr>
              <w:spacing w:after="240" w:line="259" w:lineRule="auto"/>
              <w:rPr>
                <w:rFonts w:ascii="Calibri" w:hAnsi="Calibri"/>
                <w:sz w:val="22"/>
                <w:szCs w:val="22"/>
              </w:rPr>
            </w:pPr>
            <w:r>
              <w:rPr>
                <w:rFonts w:ascii="Calibri" w:hAnsi="Calibri"/>
                <w:b/>
                <w:bCs/>
                <w:sz w:val="22"/>
                <w:szCs w:val="22"/>
                <w:lang w:val="en-GB"/>
              </w:rPr>
              <w:t>Venue:</w:t>
            </w:r>
          </w:p>
        </w:tc>
        <w:tc>
          <w:tcPr>
            <w:tcW w:w="5987" w:type="dxa"/>
            <w:shd w:val="clear" w:color="auto" w:fill="auto"/>
          </w:tcPr>
          <w:p w:rsidR="006C7A8E" w:rsidRPr="00F91B29" w:rsidRDefault="00EB7C11" w:rsidP="007242AF">
            <w:pPr>
              <w:spacing w:after="240" w:line="259" w:lineRule="auto"/>
              <w:ind w:left="317"/>
              <w:rPr>
                <w:rFonts w:ascii="Calibri" w:hAnsi="Calibri"/>
                <w:sz w:val="22"/>
                <w:szCs w:val="22"/>
              </w:rPr>
            </w:pPr>
            <w:r>
              <w:rPr>
                <w:rFonts w:ascii="Calibri" w:hAnsi="Calibri"/>
                <w:sz w:val="22"/>
                <w:szCs w:val="22"/>
              </w:rPr>
              <w:t>Buswells Hotel,</w:t>
            </w:r>
            <w:r w:rsidR="00B35CEF">
              <w:rPr>
                <w:rFonts w:ascii="Calibri" w:hAnsi="Calibri"/>
                <w:sz w:val="22"/>
                <w:szCs w:val="22"/>
              </w:rPr>
              <w:t xml:space="preserve"> </w:t>
            </w:r>
            <w:r>
              <w:rPr>
                <w:rFonts w:ascii="Calibri" w:hAnsi="Calibri"/>
                <w:sz w:val="22"/>
                <w:szCs w:val="22"/>
              </w:rPr>
              <w:t>Molesworth</w:t>
            </w:r>
            <w:r w:rsidR="00B35CEF">
              <w:rPr>
                <w:rFonts w:ascii="Calibri" w:hAnsi="Calibri"/>
                <w:sz w:val="22"/>
                <w:szCs w:val="22"/>
              </w:rPr>
              <w:t xml:space="preserve"> Street</w:t>
            </w:r>
            <w:r>
              <w:rPr>
                <w:rFonts w:ascii="Calibri" w:hAnsi="Calibri"/>
                <w:sz w:val="22"/>
                <w:szCs w:val="22"/>
              </w:rPr>
              <w:t>, Dublin 2</w:t>
            </w:r>
            <w:r w:rsidR="00B35CEF">
              <w:rPr>
                <w:rFonts w:ascii="Calibri" w:hAnsi="Calibri"/>
                <w:sz w:val="22"/>
                <w:szCs w:val="22"/>
              </w:rPr>
              <w:t>.</w:t>
            </w:r>
          </w:p>
        </w:tc>
      </w:tr>
    </w:tbl>
    <w:p w:rsidR="00EB7C11" w:rsidRDefault="00EB7C11" w:rsidP="007242AF">
      <w:pPr>
        <w:spacing w:after="240" w:line="259" w:lineRule="auto"/>
        <w:ind w:left="2880" w:hanging="2160"/>
        <w:rPr>
          <w:rFonts w:ascii="Calibri" w:hAnsi="Calibri"/>
          <w:sz w:val="22"/>
          <w:szCs w:val="22"/>
        </w:rPr>
      </w:pPr>
      <w:r w:rsidRPr="006A1FA7">
        <w:rPr>
          <w:rFonts w:ascii="Calibri" w:hAnsi="Calibri"/>
          <w:b/>
          <w:sz w:val="22"/>
          <w:szCs w:val="22"/>
        </w:rPr>
        <w:t>Present:</w:t>
      </w:r>
      <w:r w:rsidR="007242AF">
        <w:rPr>
          <w:rFonts w:ascii="Calibri" w:hAnsi="Calibri"/>
          <w:sz w:val="22"/>
          <w:szCs w:val="22"/>
        </w:rPr>
        <w:t xml:space="preserve"> </w:t>
      </w:r>
      <w:r w:rsidR="007242AF">
        <w:rPr>
          <w:rFonts w:ascii="Calibri" w:hAnsi="Calibri"/>
          <w:sz w:val="22"/>
          <w:szCs w:val="22"/>
        </w:rPr>
        <w:tab/>
      </w:r>
      <w:r>
        <w:rPr>
          <w:rFonts w:ascii="Calibri" w:hAnsi="Calibri"/>
          <w:sz w:val="22"/>
          <w:szCs w:val="22"/>
        </w:rPr>
        <w:t>Paul Egan, Michael Buck</w:t>
      </w:r>
      <w:r w:rsidR="0095797E">
        <w:rPr>
          <w:rFonts w:ascii="Calibri" w:hAnsi="Calibri"/>
          <w:sz w:val="22"/>
          <w:szCs w:val="22"/>
        </w:rPr>
        <w:t>l</w:t>
      </w:r>
      <w:r>
        <w:rPr>
          <w:rFonts w:ascii="Calibri" w:hAnsi="Calibri"/>
          <w:sz w:val="22"/>
          <w:szCs w:val="22"/>
        </w:rPr>
        <w:t>ey, Barry Conway, Máire</w:t>
      </w:r>
      <w:r w:rsidR="007242AF">
        <w:rPr>
          <w:rFonts w:ascii="Calibri" w:hAnsi="Calibri"/>
          <w:sz w:val="22"/>
          <w:szCs w:val="22"/>
        </w:rPr>
        <w:t xml:space="preserve"> </w:t>
      </w:r>
      <w:r>
        <w:rPr>
          <w:rFonts w:ascii="Calibri" w:hAnsi="Calibri"/>
          <w:sz w:val="22"/>
          <w:szCs w:val="22"/>
        </w:rPr>
        <w:t>Cunningham, Helen Curley, Richard Curran, Bernice Evoy, James Finn, Tanya Holly, Gillian Leeson, John Loughlin, Ralph MacDarby, Vincent Madigan, Kathryn Maybury,</w:t>
      </w:r>
      <w:r w:rsidR="006A1FA7">
        <w:rPr>
          <w:rFonts w:ascii="Calibri" w:hAnsi="Calibri"/>
          <w:sz w:val="22"/>
          <w:szCs w:val="22"/>
        </w:rPr>
        <w:t xml:space="preserve"> Neil McDonnell, Salvador Nash, Gillian O’Shaughnessy, Maureen O’Sullivan, Kevin Prendergast, Doug Smith.</w:t>
      </w:r>
    </w:p>
    <w:p w:rsidR="007242AF" w:rsidRDefault="007242AF" w:rsidP="007242AF">
      <w:pPr>
        <w:spacing w:after="240" w:line="259" w:lineRule="auto"/>
        <w:ind w:left="2880" w:hanging="2265"/>
        <w:rPr>
          <w:rFonts w:ascii="Calibri" w:hAnsi="Calibri"/>
          <w:b/>
          <w:sz w:val="22"/>
          <w:szCs w:val="22"/>
        </w:rPr>
      </w:pPr>
    </w:p>
    <w:p w:rsidR="00444BB8" w:rsidRDefault="00EB7C11" w:rsidP="007242AF">
      <w:pPr>
        <w:spacing w:after="240" w:line="259" w:lineRule="auto"/>
        <w:ind w:left="2880" w:hanging="2265"/>
        <w:rPr>
          <w:rFonts w:ascii="Calibri" w:hAnsi="Calibri"/>
          <w:sz w:val="22"/>
          <w:szCs w:val="22"/>
        </w:rPr>
      </w:pPr>
      <w:r w:rsidRPr="006A1FA7">
        <w:rPr>
          <w:rFonts w:ascii="Calibri" w:hAnsi="Calibri"/>
          <w:b/>
          <w:sz w:val="22"/>
          <w:szCs w:val="22"/>
        </w:rPr>
        <w:t>In attendance:</w:t>
      </w:r>
      <w:r w:rsidR="0095797E">
        <w:rPr>
          <w:rFonts w:ascii="Calibri" w:hAnsi="Calibri"/>
          <w:sz w:val="22"/>
          <w:szCs w:val="22"/>
        </w:rPr>
        <w:t xml:space="preserve"> </w:t>
      </w:r>
      <w:r w:rsidR="007242AF">
        <w:rPr>
          <w:rFonts w:ascii="Calibri" w:hAnsi="Calibri"/>
          <w:sz w:val="22"/>
          <w:szCs w:val="22"/>
        </w:rPr>
        <w:tab/>
      </w:r>
      <w:r w:rsidR="006A1FA7">
        <w:rPr>
          <w:rFonts w:ascii="Calibri" w:hAnsi="Calibri"/>
          <w:sz w:val="22"/>
          <w:szCs w:val="22"/>
        </w:rPr>
        <w:t>Tara Keane (Secretariat) Michael Buckley (Central Bank), Fiona Donnellan (Revenue), Emma Roche-Cagney (Attorney General’s Office)</w:t>
      </w:r>
    </w:p>
    <w:p w:rsidR="00EB7C11" w:rsidRDefault="00EB7C11" w:rsidP="007242AF">
      <w:pPr>
        <w:spacing w:after="240" w:line="259" w:lineRule="auto"/>
        <w:ind w:left="1287" w:hanging="720"/>
        <w:rPr>
          <w:rFonts w:ascii="Calibri" w:hAnsi="Calibri"/>
          <w:sz w:val="22"/>
          <w:szCs w:val="22"/>
        </w:rPr>
      </w:pPr>
    </w:p>
    <w:p w:rsidR="00EB7C11" w:rsidRDefault="00EB7C11" w:rsidP="007E2B03">
      <w:pPr>
        <w:spacing w:after="240" w:line="259" w:lineRule="auto"/>
        <w:ind w:left="2880" w:hanging="2313"/>
        <w:rPr>
          <w:rFonts w:ascii="Calibri" w:hAnsi="Calibri"/>
          <w:sz w:val="22"/>
          <w:szCs w:val="22"/>
        </w:rPr>
      </w:pPr>
      <w:r w:rsidRPr="006A1FA7">
        <w:rPr>
          <w:rFonts w:ascii="Calibri" w:hAnsi="Calibri"/>
          <w:b/>
          <w:sz w:val="22"/>
          <w:szCs w:val="22"/>
        </w:rPr>
        <w:t>Apologies:</w:t>
      </w:r>
      <w:r w:rsidR="0095797E">
        <w:rPr>
          <w:rFonts w:ascii="Calibri" w:hAnsi="Calibri"/>
          <w:sz w:val="22"/>
          <w:szCs w:val="22"/>
        </w:rPr>
        <w:t xml:space="preserve"> </w:t>
      </w:r>
      <w:r w:rsidR="007242AF">
        <w:rPr>
          <w:rFonts w:ascii="Calibri" w:hAnsi="Calibri"/>
          <w:sz w:val="22"/>
          <w:szCs w:val="22"/>
        </w:rPr>
        <w:tab/>
      </w:r>
      <w:r w:rsidR="006A1FA7">
        <w:rPr>
          <w:rFonts w:ascii="Calibri" w:hAnsi="Calibri"/>
          <w:sz w:val="22"/>
          <w:szCs w:val="22"/>
        </w:rPr>
        <w:t>Marie Daly, Emma Doherty, Ian Drennan, Michael Halpenny, David McFadden, Ciara O’Leary.</w:t>
      </w:r>
    </w:p>
    <w:p w:rsidR="0095797E" w:rsidRDefault="0095797E" w:rsidP="007242AF">
      <w:pPr>
        <w:spacing w:after="240" w:line="259" w:lineRule="auto"/>
        <w:ind w:left="1287" w:hanging="720"/>
        <w:rPr>
          <w:rFonts w:ascii="Calibri" w:hAnsi="Calibri"/>
          <w:sz w:val="22"/>
          <w:szCs w:val="22"/>
        </w:rPr>
      </w:pPr>
      <w:r>
        <w:rPr>
          <w:rFonts w:ascii="Calibri" w:hAnsi="Calibri"/>
          <w:sz w:val="22"/>
          <w:szCs w:val="22"/>
        </w:rPr>
        <w:br w:type="page"/>
      </w:r>
    </w:p>
    <w:p w:rsidR="0095797E" w:rsidRDefault="00B821D8" w:rsidP="007242AF">
      <w:pPr>
        <w:pStyle w:val="BodyTextIndent2"/>
        <w:numPr>
          <w:ilvl w:val="0"/>
          <w:numId w:val="2"/>
        </w:numPr>
        <w:pBdr>
          <w:top w:val="none" w:sz="0" w:space="0" w:color="auto"/>
          <w:left w:val="none" w:sz="0" w:space="0" w:color="auto"/>
          <w:bottom w:val="none" w:sz="0" w:space="0" w:color="auto"/>
          <w:right w:val="none" w:sz="0" w:space="0" w:color="auto"/>
        </w:pBdr>
        <w:tabs>
          <w:tab w:val="clear" w:pos="720"/>
        </w:tabs>
        <w:spacing w:after="240" w:line="259" w:lineRule="auto"/>
        <w:ind w:left="851" w:hanging="851"/>
        <w:rPr>
          <w:rFonts w:ascii="Calibri" w:hAnsi="Calibri"/>
          <w:b/>
          <w:bCs/>
          <w:sz w:val="22"/>
          <w:szCs w:val="22"/>
        </w:rPr>
      </w:pPr>
      <w:r>
        <w:rPr>
          <w:rFonts w:ascii="Calibri" w:hAnsi="Calibri"/>
          <w:b/>
          <w:bCs/>
          <w:sz w:val="22"/>
          <w:szCs w:val="22"/>
        </w:rPr>
        <w:lastRenderedPageBreak/>
        <w:t>Minutes &amp; Matters arising</w:t>
      </w:r>
    </w:p>
    <w:p w:rsidR="0095797E" w:rsidRDefault="000E2755" w:rsidP="007242AF">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Calibri" w:hAnsi="Calibri"/>
          <w:bCs/>
          <w:sz w:val="22"/>
          <w:szCs w:val="22"/>
        </w:rPr>
      </w:pPr>
      <w:r w:rsidRPr="000E2755">
        <w:rPr>
          <w:rFonts w:ascii="Calibri" w:hAnsi="Calibri"/>
          <w:bCs/>
          <w:sz w:val="22"/>
          <w:szCs w:val="22"/>
        </w:rPr>
        <w:t>The minutes of the 87</w:t>
      </w:r>
      <w:r w:rsidRPr="000E2755">
        <w:rPr>
          <w:rFonts w:ascii="Calibri" w:hAnsi="Calibri"/>
          <w:bCs/>
          <w:sz w:val="22"/>
          <w:szCs w:val="22"/>
          <w:vertAlign w:val="superscript"/>
        </w:rPr>
        <w:t>th</w:t>
      </w:r>
      <w:r w:rsidRPr="000E2755">
        <w:rPr>
          <w:rFonts w:ascii="Calibri" w:hAnsi="Calibri"/>
          <w:bCs/>
          <w:sz w:val="22"/>
          <w:szCs w:val="22"/>
        </w:rPr>
        <w:t xml:space="preserve"> Plenary </w:t>
      </w:r>
      <w:r w:rsidR="007E2B03">
        <w:rPr>
          <w:rFonts w:ascii="Calibri" w:hAnsi="Calibri"/>
          <w:bCs/>
          <w:sz w:val="22"/>
          <w:szCs w:val="22"/>
        </w:rPr>
        <w:t xml:space="preserve">meeting </w:t>
      </w:r>
      <w:r w:rsidRPr="000E2755">
        <w:rPr>
          <w:rFonts w:ascii="Calibri" w:hAnsi="Calibri"/>
          <w:bCs/>
          <w:sz w:val="22"/>
          <w:szCs w:val="22"/>
        </w:rPr>
        <w:t>were adopted. There were no matters arising.</w:t>
      </w:r>
    </w:p>
    <w:p w:rsidR="0095797E" w:rsidRDefault="00B35CEF" w:rsidP="007242AF">
      <w:pPr>
        <w:pStyle w:val="BodyTextIndent2"/>
        <w:numPr>
          <w:ilvl w:val="0"/>
          <w:numId w:val="2"/>
        </w:numPr>
        <w:pBdr>
          <w:top w:val="none" w:sz="0" w:space="0" w:color="auto"/>
          <w:left w:val="none" w:sz="0" w:space="0" w:color="auto"/>
          <w:bottom w:val="none" w:sz="0" w:space="0" w:color="auto"/>
          <w:right w:val="none" w:sz="0" w:space="0" w:color="auto"/>
        </w:pBdr>
        <w:tabs>
          <w:tab w:val="clear" w:pos="720"/>
        </w:tabs>
        <w:spacing w:after="240" w:line="259" w:lineRule="auto"/>
        <w:ind w:left="851" w:hanging="851"/>
        <w:rPr>
          <w:rFonts w:ascii="Calibri" w:hAnsi="Calibri"/>
          <w:b/>
          <w:bCs/>
          <w:sz w:val="22"/>
          <w:szCs w:val="22"/>
        </w:rPr>
      </w:pPr>
      <w:r>
        <w:rPr>
          <w:rFonts w:ascii="Calibri" w:hAnsi="Calibri"/>
          <w:b/>
          <w:bCs/>
          <w:sz w:val="22"/>
          <w:szCs w:val="22"/>
        </w:rPr>
        <w:t>Code of practice</w:t>
      </w:r>
    </w:p>
    <w:p w:rsidR="0095797E" w:rsidRDefault="00594BDF" w:rsidP="007242AF">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Calibri" w:hAnsi="Calibri"/>
          <w:bCs/>
          <w:sz w:val="22"/>
          <w:szCs w:val="22"/>
        </w:rPr>
      </w:pPr>
      <w:r w:rsidRPr="00594BDF">
        <w:rPr>
          <w:rFonts w:ascii="Calibri" w:hAnsi="Calibri"/>
          <w:bCs/>
          <w:sz w:val="22"/>
          <w:szCs w:val="22"/>
        </w:rPr>
        <w:t xml:space="preserve">As per the Code of Practice, members are obliged to notify either the Secretariat or Chairperson should they </w:t>
      </w:r>
      <w:r>
        <w:rPr>
          <w:rFonts w:ascii="Calibri" w:hAnsi="Calibri"/>
          <w:bCs/>
          <w:sz w:val="22"/>
          <w:szCs w:val="22"/>
        </w:rPr>
        <w:t>have</w:t>
      </w:r>
      <w:r w:rsidRPr="00594BDF">
        <w:rPr>
          <w:rFonts w:ascii="Calibri" w:hAnsi="Calibri"/>
          <w:bCs/>
          <w:sz w:val="22"/>
          <w:szCs w:val="22"/>
        </w:rPr>
        <w:t xml:space="preserve"> a conflict of interest in relation to any agenda item</w:t>
      </w:r>
      <w:r w:rsidR="007242AF">
        <w:rPr>
          <w:rFonts w:ascii="Calibri" w:hAnsi="Calibri"/>
          <w:bCs/>
          <w:sz w:val="22"/>
          <w:szCs w:val="22"/>
        </w:rPr>
        <w:t xml:space="preserve"> </w:t>
      </w:r>
      <w:r w:rsidRPr="00594BDF">
        <w:rPr>
          <w:rFonts w:ascii="Calibri" w:hAnsi="Calibri"/>
          <w:bCs/>
          <w:sz w:val="22"/>
          <w:szCs w:val="22"/>
        </w:rPr>
        <w:t xml:space="preserve">at Plenary or Committee meetings. </w:t>
      </w:r>
    </w:p>
    <w:p w:rsidR="0095797E" w:rsidRDefault="00594BDF" w:rsidP="007242AF">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Calibri" w:hAnsi="Calibri"/>
          <w:bCs/>
          <w:sz w:val="22"/>
          <w:szCs w:val="22"/>
        </w:rPr>
      </w:pPr>
      <w:r>
        <w:rPr>
          <w:rFonts w:ascii="Calibri" w:hAnsi="Calibri"/>
          <w:bCs/>
          <w:sz w:val="22"/>
          <w:szCs w:val="22"/>
        </w:rPr>
        <w:t>The Chai</w:t>
      </w:r>
      <w:r w:rsidR="000E2755">
        <w:rPr>
          <w:rFonts w:ascii="Calibri" w:hAnsi="Calibri"/>
          <w:bCs/>
          <w:sz w:val="22"/>
          <w:szCs w:val="22"/>
        </w:rPr>
        <w:t>rperson requested that anyone with a conflict of interest make themselves known to the Secretariat.</w:t>
      </w:r>
      <w:r w:rsidR="007242AF">
        <w:rPr>
          <w:rFonts w:ascii="Calibri" w:hAnsi="Calibri"/>
          <w:bCs/>
          <w:sz w:val="22"/>
          <w:szCs w:val="22"/>
        </w:rPr>
        <w:t xml:space="preserve"> </w:t>
      </w:r>
      <w:r w:rsidR="000E2755">
        <w:rPr>
          <w:rFonts w:ascii="Calibri" w:hAnsi="Calibri"/>
          <w:bCs/>
          <w:sz w:val="22"/>
          <w:szCs w:val="22"/>
        </w:rPr>
        <w:t>No such conflicts were declared.</w:t>
      </w:r>
    </w:p>
    <w:p w:rsidR="0095797E" w:rsidRDefault="00590AF6" w:rsidP="007242AF">
      <w:pPr>
        <w:pStyle w:val="BodyTextIndent2"/>
        <w:numPr>
          <w:ilvl w:val="0"/>
          <w:numId w:val="2"/>
        </w:numPr>
        <w:pBdr>
          <w:top w:val="none" w:sz="0" w:space="0" w:color="auto"/>
          <w:left w:val="none" w:sz="0" w:space="0" w:color="auto"/>
          <w:bottom w:val="none" w:sz="0" w:space="0" w:color="auto"/>
          <w:right w:val="none" w:sz="0" w:space="0" w:color="auto"/>
        </w:pBdr>
        <w:tabs>
          <w:tab w:val="clear" w:pos="720"/>
        </w:tabs>
        <w:spacing w:after="240" w:line="259" w:lineRule="auto"/>
        <w:ind w:left="851" w:hanging="851"/>
        <w:rPr>
          <w:rFonts w:ascii="Calibri" w:hAnsi="Calibri"/>
          <w:b/>
          <w:bCs/>
          <w:sz w:val="22"/>
          <w:szCs w:val="22"/>
        </w:rPr>
      </w:pPr>
      <w:r w:rsidRPr="00590AF6">
        <w:rPr>
          <w:rFonts w:ascii="Calibri" w:hAnsi="Calibri"/>
          <w:b/>
          <w:bCs/>
          <w:sz w:val="22"/>
          <w:szCs w:val="22"/>
        </w:rPr>
        <w:t xml:space="preserve">EU Measures and European Commission Proposals with relevance to company law </w:t>
      </w:r>
    </w:p>
    <w:p w:rsidR="0095797E" w:rsidRDefault="000E2755" w:rsidP="007242AF">
      <w:pPr>
        <w:spacing w:after="240" w:line="259" w:lineRule="auto"/>
        <w:ind w:left="851"/>
        <w:rPr>
          <w:rFonts w:ascii="Calibri" w:hAnsi="Calibri" w:cs="Calibri"/>
          <w:bCs/>
          <w:sz w:val="22"/>
          <w:szCs w:val="22"/>
        </w:rPr>
      </w:pPr>
      <w:r w:rsidRPr="000E2755">
        <w:rPr>
          <w:rFonts w:ascii="Calibri" w:hAnsi="Calibri" w:cs="Calibri"/>
          <w:bCs/>
          <w:sz w:val="22"/>
          <w:szCs w:val="22"/>
        </w:rPr>
        <w:t>The following updates were provided:</w:t>
      </w:r>
    </w:p>
    <w:p w:rsidR="00A63282" w:rsidRPr="002A0F9C" w:rsidRDefault="00590AF6" w:rsidP="007242AF">
      <w:pPr>
        <w:pStyle w:val="ListParagraph"/>
        <w:spacing w:after="240" w:line="259" w:lineRule="auto"/>
        <w:ind w:left="851"/>
        <w:contextualSpacing w:val="0"/>
        <w:rPr>
          <w:rFonts w:asciiTheme="minorHAnsi" w:hAnsiTheme="minorHAnsi" w:cstheme="minorHAnsi"/>
          <w:i/>
        </w:rPr>
      </w:pPr>
      <w:r w:rsidRPr="002A0F9C">
        <w:rPr>
          <w:rFonts w:asciiTheme="minorHAnsi" w:hAnsiTheme="minorHAnsi" w:cstheme="minorHAnsi"/>
          <w:i/>
        </w:rPr>
        <w:t>a.</w:t>
      </w:r>
      <w:r w:rsidR="0095797E">
        <w:rPr>
          <w:rFonts w:asciiTheme="minorHAnsi" w:hAnsiTheme="minorHAnsi" w:cstheme="minorHAnsi"/>
          <w:i/>
        </w:rPr>
        <w:t xml:space="preserve"> </w:t>
      </w:r>
      <w:r w:rsidRPr="002A0F9C">
        <w:rPr>
          <w:rFonts w:asciiTheme="minorHAnsi" w:hAnsiTheme="minorHAnsi" w:cstheme="minorHAnsi"/>
          <w:i/>
        </w:rPr>
        <w:t>Insolvency Directive (EU) 2019/1023 on preventive restructuring frameworks (second-chance Directive)</w:t>
      </w:r>
    </w:p>
    <w:p w:rsidR="007242AF" w:rsidRDefault="002A0F9C" w:rsidP="007E2B03">
      <w:pPr>
        <w:spacing w:after="240" w:line="259" w:lineRule="auto"/>
        <w:ind w:left="851"/>
        <w:rPr>
          <w:rFonts w:asciiTheme="minorHAnsi" w:hAnsiTheme="minorHAnsi" w:cstheme="minorHAnsi"/>
          <w:iCs/>
          <w:sz w:val="22"/>
          <w:szCs w:val="22"/>
        </w:rPr>
      </w:pPr>
      <w:r w:rsidRPr="002A0F9C">
        <w:rPr>
          <w:rFonts w:asciiTheme="minorHAnsi" w:hAnsiTheme="minorHAnsi" w:cstheme="minorHAnsi"/>
          <w:iCs/>
          <w:sz w:val="22"/>
          <w:szCs w:val="22"/>
        </w:rPr>
        <w:t>The Directive was published on 20</w:t>
      </w:r>
      <w:r w:rsidRPr="002A0F9C">
        <w:rPr>
          <w:rFonts w:asciiTheme="minorHAnsi" w:hAnsiTheme="minorHAnsi" w:cstheme="minorHAnsi"/>
          <w:iCs/>
          <w:sz w:val="22"/>
          <w:szCs w:val="22"/>
          <w:vertAlign w:val="superscript"/>
        </w:rPr>
        <w:t>th</w:t>
      </w:r>
      <w:r w:rsidRPr="002A0F9C">
        <w:rPr>
          <w:rFonts w:asciiTheme="minorHAnsi" w:hAnsiTheme="minorHAnsi" w:cstheme="minorHAnsi"/>
          <w:iCs/>
          <w:sz w:val="22"/>
          <w:szCs w:val="22"/>
        </w:rPr>
        <w:t xml:space="preserve"> June 2019 following </w:t>
      </w:r>
      <w:r w:rsidR="0095797E">
        <w:rPr>
          <w:rFonts w:asciiTheme="minorHAnsi" w:hAnsiTheme="minorHAnsi" w:cstheme="minorHAnsi"/>
          <w:iCs/>
          <w:sz w:val="22"/>
          <w:szCs w:val="22"/>
        </w:rPr>
        <w:t xml:space="preserve">its </w:t>
      </w:r>
      <w:r w:rsidRPr="002A0F9C">
        <w:rPr>
          <w:rFonts w:asciiTheme="minorHAnsi" w:hAnsiTheme="minorHAnsi" w:cstheme="minorHAnsi"/>
          <w:iCs/>
          <w:sz w:val="22"/>
          <w:szCs w:val="22"/>
        </w:rPr>
        <w:t xml:space="preserve">adoption by the European Council and European Parliament. </w:t>
      </w:r>
      <w:r w:rsidR="007E2B03">
        <w:rPr>
          <w:rFonts w:asciiTheme="minorHAnsi" w:hAnsiTheme="minorHAnsi" w:cstheme="minorHAnsi"/>
          <w:iCs/>
          <w:sz w:val="22"/>
          <w:szCs w:val="22"/>
        </w:rPr>
        <w:t xml:space="preserve"> </w:t>
      </w:r>
      <w:r w:rsidR="007242AF">
        <w:rPr>
          <w:rFonts w:asciiTheme="minorHAnsi" w:hAnsiTheme="minorHAnsi" w:cstheme="minorHAnsi"/>
          <w:iCs/>
          <w:sz w:val="22"/>
          <w:szCs w:val="22"/>
        </w:rPr>
        <w:tab/>
      </w:r>
      <w:r w:rsidRPr="002A0F9C">
        <w:rPr>
          <w:rFonts w:asciiTheme="minorHAnsi" w:hAnsiTheme="minorHAnsi" w:cstheme="minorHAnsi"/>
          <w:iCs/>
          <w:sz w:val="22"/>
          <w:szCs w:val="22"/>
        </w:rPr>
        <w:t xml:space="preserve">The Department launched a public consultation on the transposition </w:t>
      </w:r>
      <w:r w:rsidR="007242AF">
        <w:rPr>
          <w:rFonts w:asciiTheme="minorHAnsi" w:hAnsiTheme="minorHAnsi" w:cstheme="minorHAnsi"/>
          <w:iCs/>
          <w:sz w:val="22"/>
          <w:szCs w:val="22"/>
        </w:rPr>
        <w:t xml:space="preserve">of the Directive at </w:t>
      </w:r>
      <w:hyperlink r:id="rId9" w:history="1">
        <w:r w:rsidR="007242AF" w:rsidRPr="002A0F9C">
          <w:rPr>
            <w:rStyle w:val="Hyperlink"/>
            <w:rFonts w:asciiTheme="minorHAnsi" w:hAnsiTheme="minorHAnsi" w:cstheme="minorHAnsi"/>
            <w:sz w:val="22"/>
            <w:szCs w:val="22"/>
          </w:rPr>
          <w:t>dbei.gov.ie/en/Consultations/Public-Consultation-on-Directive-EU-2019-1023.html</w:t>
        </w:r>
      </w:hyperlink>
      <w:r w:rsidR="007242AF">
        <w:rPr>
          <w:rFonts w:asciiTheme="minorHAnsi" w:hAnsiTheme="minorHAnsi" w:cstheme="minorHAnsi"/>
          <w:iCs/>
          <w:sz w:val="22"/>
          <w:szCs w:val="22"/>
        </w:rPr>
        <w:t xml:space="preserve"> </w:t>
      </w:r>
    </w:p>
    <w:p w:rsidR="0095797E" w:rsidRDefault="007242AF" w:rsidP="007242AF">
      <w:pPr>
        <w:spacing w:after="240" w:line="259" w:lineRule="auto"/>
        <w:ind w:left="851" w:hanging="851"/>
        <w:rPr>
          <w:rFonts w:asciiTheme="minorHAnsi" w:hAnsiTheme="minorHAnsi" w:cstheme="minorHAnsi"/>
          <w:iCs/>
          <w:sz w:val="22"/>
          <w:szCs w:val="22"/>
        </w:rPr>
      </w:pPr>
      <w:r>
        <w:rPr>
          <w:rFonts w:asciiTheme="minorHAnsi" w:hAnsiTheme="minorHAnsi" w:cstheme="minorHAnsi"/>
          <w:iCs/>
          <w:sz w:val="22"/>
          <w:szCs w:val="22"/>
        </w:rPr>
        <w:tab/>
      </w:r>
      <w:r w:rsidR="002A0F9C" w:rsidRPr="002A0F9C">
        <w:rPr>
          <w:rFonts w:asciiTheme="minorHAnsi" w:hAnsiTheme="minorHAnsi" w:cstheme="minorHAnsi"/>
          <w:iCs/>
          <w:sz w:val="22"/>
          <w:szCs w:val="22"/>
        </w:rPr>
        <w:t>The Consultation document and a Response Template were</w:t>
      </w:r>
      <w:r>
        <w:rPr>
          <w:rFonts w:asciiTheme="minorHAnsi" w:hAnsiTheme="minorHAnsi" w:cstheme="minorHAnsi"/>
          <w:iCs/>
          <w:sz w:val="22"/>
          <w:szCs w:val="22"/>
        </w:rPr>
        <w:t xml:space="preserve"> </w:t>
      </w:r>
      <w:r w:rsidR="002A0F9C" w:rsidRPr="002A0F9C">
        <w:rPr>
          <w:rFonts w:asciiTheme="minorHAnsi" w:hAnsiTheme="minorHAnsi" w:cstheme="minorHAnsi"/>
          <w:iCs/>
          <w:sz w:val="22"/>
          <w:szCs w:val="22"/>
        </w:rPr>
        <w:t>published on the Department’s website and can be accessed at the link below.</w:t>
      </w:r>
      <w:r>
        <w:rPr>
          <w:rFonts w:asciiTheme="minorHAnsi" w:hAnsiTheme="minorHAnsi" w:cstheme="minorHAnsi"/>
          <w:iCs/>
          <w:sz w:val="22"/>
          <w:szCs w:val="22"/>
        </w:rPr>
        <w:t xml:space="preserve"> </w:t>
      </w:r>
      <w:r w:rsidR="002A0F9C" w:rsidRPr="002A0F9C">
        <w:rPr>
          <w:rFonts w:asciiTheme="minorHAnsi" w:hAnsiTheme="minorHAnsi" w:cstheme="minorHAnsi"/>
          <w:iCs/>
          <w:sz w:val="22"/>
          <w:szCs w:val="22"/>
        </w:rPr>
        <w:t>The Consultation will close on 6 March 2020. The consultation was sent to the</w:t>
      </w:r>
      <w:r>
        <w:rPr>
          <w:rFonts w:asciiTheme="minorHAnsi" w:hAnsiTheme="minorHAnsi" w:cstheme="minorHAnsi"/>
          <w:iCs/>
          <w:sz w:val="22"/>
          <w:szCs w:val="22"/>
        </w:rPr>
        <w:t xml:space="preserve"> </w:t>
      </w:r>
      <w:r w:rsidR="002A0F9C" w:rsidRPr="002A0F9C">
        <w:rPr>
          <w:rFonts w:asciiTheme="minorHAnsi" w:hAnsiTheme="minorHAnsi" w:cstheme="minorHAnsi"/>
          <w:iCs/>
          <w:sz w:val="22"/>
          <w:szCs w:val="22"/>
        </w:rPr>
        <w:t>CLRG upon release.</w:t>
      </w:r>
      <w:r>
        <w:rPr>
          <w:rFonts w:asciiTheme="minorHAnsi" w:hAnsiTheme="minorHAnsi" w:cstheme="minorHAnsi"/>
          <w:iCs/>
          <w:sz w:val="22"/>
          <w:szCs w:val="22"/>
        </w:rPr>
        <w:t xml:space="preserve"> </w:t>
      </w:r>
      <w:r w:rsidR="002A0F9C" w:rsidRPr="002A0F9C">
        <w:rPr>
          <w:rFonts w:asciiTheme="minorHAnsi" w:hAnsiTheme="minorHAnsi" w:cstheme="minorHAnsi"/>
          <w:iCs/>
          <w:sz w:val="22"/>
          <w:szCs w:val="22"/>
        </w:rPr>
        <w:t xml:space="preserve">The Corporate Insolvency sub-group is </w:t>
      </w:r>
      <w:r w:rsidR="002A0F9C">
        <w:rPr>
          <w:rFonts w:asciiTheme="minorHAnsi" w:hAnsiTheme="minorHAnsi" w:cstheme="minorHAnsi"/>
          <w:iCs/>
          <w:sz w:val="22"/>
          <w:szCs w:val="22"/>
        </w:rPr>
        <w:t xml:space="preserve">finalising </w:t>
      </w:r>
      <w:r w:rsidR="002A0F9C" w:rsidRPr="002A0F9C">
        <w:rPr>
          <w:rFonts w:asciiTheme="minorHAnsi" w:hAnsiTheme="minorHAnsi" w:cstheme="minorHAnsi"/>
          <w:iCs/>
          <w:sz w:val="22"/>
          <w:szCs w:val="22"/>
        </w:rPr>
        <w:t>a response</w:t>
      </w:r>
      <w:r>
        <w:rPr>
          <w:rFonts w:asciiTheme="minorHAnsi" w:hAnsiTheme="minorHAnsi" w:cstheme="minorHAnsi"/>
          <w:iCs/>
          <w:sz w:val="22"/>
          <w:szCs w:val="22"/>
        </w:rPr>
        <w:t xml:space="preserve"> </w:t>
      </w:r>
      <w:r w:rsidR="002A0F9C" w:rsidRPr="002A0F9C">
        <w:rPr>
          <w:rFonts w:asciiTheme="minorHAnsi" w:hAnsiTheme="minorHAnsi" w:cstheme="minorHAnsi"/>
          <w:iCs/>
          <w:sz w:val="22"/>
          <w:szCs w:val="22"/>
        </w:rPr>
        <w:t>to</w:t>
      </w:r>
      <w:r>
        <w:rPr>
          <w:rFonts w:asciiTheme="minorHAnsi" w:hAnsiTheme="minorHAnsi" w:cstheme="minorHAnsi"/>
          <w:iCs/>
          <w:sz w:val="22"/>
          <w:szCs w:val="22"/>
        </w:rPr>
        <w:t xml:space="preserve"> </w:t>
      </w:r>
      <w:r w:rsidR="002A0F9C" w:rsidRPr="002A0F9C">
        <w:rPr>
          <w:rFonts w:asciiTheme="minorHAnsi" w:hAnsiTheme="minorHAnsi" w:cstheme="minorHAnsi"/>
          <w:iCs/>
          <w:sz w:val="22"/>
          <w:szCs w:val="22"/>
        </w:rPr>
        <w:t>the consultation.</w:t>
      </w:r>
    </w:p>
    <w:p w:rsidR="0095797E" w:rsidRDefault="00590AF6" w:rsidP="007242AF">
      <w:pPr>
        <w:spacing w:after="240" w:line="259" w:lineRule="auto"/>
        <w:ind w:left="851"/>
        <w:rPr>
          <w:rFonts w:asciiTheme="minorHAnsi" w:hAnsiTheme="minorHAnsi" w:cstheme="minorHAnsi"/>
          <w:i/>
          <w:sz w:val="22"/>
          <w:szCs w:val="22"/>
        </w:rPr>
      </w:pPr>
      <w:r w:rsidRPr="002A0F9C">
        <w:rPr>
          <w:rFonts w:asciiTheme="minorHAnsi" w:hAnsiTheme="minorHAnsi" w:cstheme="minorHAnsi"/>
          <w:i/>
          <w:sz w:val="22"/>
          <w:szCs w:val="22"/>
        </w:rPr>
        <w:t>b.</w:t>
      </w:r>
      <w:r w:rsidR="0095797E">
        <w:rPr>
          <w:rFonts w:asciiTheme="minorHAnsi" w:hAnsiTheme="minorHAnsi" w:cstheme="minorHAnsi"/>
          <w:i/>
          <w:sz w:val="22"/>
          <w:szCs w:val="22"/>
        </w:rPr>
        <w:t xml:space="preserve"> </w:t>
      </w:r>
      <w:r w:rsidRPr="002A0F9C">
        <w:rPr>
          <w:rFonts w:asciiTheme="minorHAnsi" w:hAnsiTheme="minorHAnsi" w:cstheme="minorHAnsi"/>
          <w:i/>
          <w:sz w:val="22"/>
          <w:szCs w:val="22"/>
        </w:rPr>
        <w:t>Company law digitalisation Directive (EU) 2019/1151</w:t>
      </w:r>
    </w:p>
    <w:p w:rsidR="0095797E" w:rsidRDefault="002A0F9C" w:rsidP="007242AF">
      <w:pPr>
        <w:spacing w:after="240" w:line="259" w:lineRule="auto"/>
        <w:ind w:left="851"/>
        <w:rPr>
          <w:rFonts w:asciiTheme="minorHAnsi" w:hAnsiTheme="minorHAnsi" w:cstheme="minorHAnsi"/>
          <w:sz w:val="22"/>
          <w:szCs w:val="22"/>
        </w:rPr>
      </w:pPr>
      <w:r w:rsidRPr="002A0F9C">
        <w:rPr>
          <w:rFonts w:asciiTheme="minorHAnsi" w:hAnsiTheme="minorHAnsi" w:cstheme="minorHAnsi"/>
          <w:sz w:val="22"/>
          <w:szCs w:val="22"/>
        </w:rPr>
        <w:t>The Directive on digital tools was published in the Official Journal on 11 July 2019</w:t>
      </w:r>
      <w:r w:rsidR="007242AF">
        <w:rPr>
          <w:rFonts w:asciiTheme="minorHAnsi" w:hAnsiTheme="minorHAnsi" w:cstheme="minorHAnsi"/>
          <w:sz w:val="22"/>
          <w:szCs w:val="22"/>
        </w:rPr>
        <w:t xml:space="preserve"> </w:t>
      </w:r>
      <w:r w:rsidRPr="002A0F9C">
        <w:rPr>
          <w:rFonts w:asciiTheme="minorHAnsi" w:hAnsiTheme="minorHAnsi" w:cstheme="minorHAnsi"/>
          <w:sz w:val="22"/>
          <w:szCs w:val="22"/>
        </w:rPr>
        <w:t>and entered into force on 31 July 2019. Under Article 2 of the Directive, Member</w:t>
      </w:r>
      <w:r w:rsidR="007242AF">
        <w:rPr>
          <w:rFonts w:asciiTheme="minorHAnsi" w:hAnsiTheme="minorHAnsi" w:cstheme="minorHAnsi"/>
          <w:sz w:val="22"/>
          <w:szCs w:val="22"/>
        </w:rPr>
        <w:t xml:space="preserve"> </w:t>
      </w:r>
      <w:r w:rsidRPr="002A0F9C">
        <w:rPr>
          <w:rFonts w:asciiTheme="minorHAnsi" w:hAnsiTheme="minorHAnsi" w:cstheme="minorHAnsi"/>
          <w:sz w:val="22"/>
          <w:szCs w:val="22"/>
        </w:rPr>
        <w:t xml:space="preserve">States </w:t>
      </w:r>
      <w:r w:rsidR="007E2B03">
        <w:rPr>
          <w:rFonts w:asciiTheme="minorHAnsi" w:hAnsiTheme="minorHAnsi" w:cstheme="minorHAnsi"/>
          <w:sz w:val="22"/>
          <w:szCs w:val="22"/>
        </w:rPr>
        <w:t xml:space="preserve">must </w:t>
      </w:r>
      <w:r w:rsidRPr="002A0F9C">
        <w:rPr>
          <w:rFonts w:asciiTheme="minorHAnsi" w:hAnsiTheme="minorHAnsi" w:cstheme="minorHAnsi"/>
          <w:sz w:val="22"/>
          <w:szCs w:val="22"/>
        </w:rPr>
        <w:t>bring into force the laws, regulations and administrative provisions</w:t>
      </w:r>
      <w:r w:rsidR="007242AF">
        <w:rPr>
          <w:rFonts w:asciiTheme="minorHAnsi" w:hAnsiTheme="minorHAnsi" w:cstheme="minorHAnsi"/>
          <w:sz w:val="22"/>
          <w:szCs w:val="22"/>
        </w:rPr>
        <w:t xml:space="preserve"> </w:t>
      </w:r>
      <w:r w:rsidRPr="002A0F9C">
        <w:rPr>
          <w:rFonts w:asciiTheme="minorHAnsi" w:hAnsiTheme="minorHAnsi" w:cstheme="minorHAnsi"/>
          <w:sz w:val="22"/>
          <w:szCs w:val="22"/>
        </w:rPr>
        <w:t>necessary to comply with this Directive by 1 August 2021.</w:t>
      </w:r>
      <w:r w:rsidR="007242AF">
        <w:rPr>
          <w:rFonts w:asciiTheme="minorHAnsi" w:hAnsiTheme="minorHAnsi" w:cstheme="minorHAnsi"/>
          <w:sz w:val="22"/>
          <w:szCs w:val="22"/>
        </w:rPr>
        <w:t xml:space="preserve"> </w:t>
      </w:r>
      <w:r w:rsidRPr="002A0F9C">
        <w:rPr>
          <w:rFonts w:asciiTheme="minorHAnsi" w:hAnsiTheme="minorHAnsi" w:cstheme="minorHAnsi"/>
          <w:sz w:val="22"/>
          <w:szCs w:val="22"/>
        </w:rPr>
        <w:t>The CRO new ICT system</w:t>
      </w:r>
      <w:r w:rsidR="007242AF">
        <w:rPr>
          <w:rFonts w:asciiTheme="minorHAnsi" w:hAnsiTheme="minorHAnsi" w:cstheme="minorHAnsi"/>
          <w:sz w:val="22"/>
          <w:szCs w:val="22"/>
        </w:rPr>
        <w:t xml:space="preserve"> </w:t>
      </w:r>
      <w:r w:rsidRPr="002A0F9C">
        <w:rPr>
          <w:rFonts w:asciiTheme="minorHAnsi" w:hAnsiTheme="minorHAnsi" w:cstheme="minorHAnsi"/>
          <w:sz w:val="22"/>
          <w:szCs w:val="22"/>
        </w:rPr>
        <w:t>is expected to meet the requirements</w:t>
      </w:r>
    </w:p>
    <w:p w:rsidR="0095797E" w:rsidRDefault="00590AF6" w:rsidP="007242AF">
      <w:pPr>
        <w:pStyle w:val="BodyTextIndent2"/>
        <w:keepNext/>
        <w:pBdr>
          <w:top w:val="none" w:sz="0" w:space="0" w:color="auto"/>
          <w:left w:val="none" w:sz="0" w:space="0" w:color="auto"/>
          <w:bottom w:val="none" w:sz="0" w:space="0" w:color="auto"/>
          <w:right w:val="none" w:sz="0" w:space="0" w:color="auto"/>
        </w:pBdr>
        <w:spacing w:after="240" w:line="259" w:lineRule="auto"/>
        <w:ind w:left="851" w:firstLine="0"/>
        <w:rPr>
          <w:rFonts w:asciiTheme="minorHAnsi" w:hAnsiTheme="minorHAnsi" w:cstheme="minorHAnsi"/>
          <w:i/>
          <w:sz w:val="22"/>
          <w:szCs w:val="22"/>
        </w:rPr>
      </w:pPr>
      <w:r w:rsidRPr="002A0F9C">
        <w:rPr>
          <w:rFonts w:asciiTheme="minorHAnsi" w:hAnsiTheme="minorHAnsi" w:cstheme="minorHAnsi"/>
          <w:i/>
          <w:sz w:val="22"/>
          <w:szCs w:val="22"/>
        </w:rPr>
        <w:t>c.</w:t>
      </w:r>
      <w:r w:rsidR="0095797E">
        <w:rPr>
          <w:rFonts w:asciiTheme="minorHAnsi" w:hAnsiTheme="minorHAnsi" w:cstheme="minorHAnsi"/>
          <w:i/>
          <w:sz w:val="22"/>
          <w:szCs w:val="22"/>
        </w:rPr>
        <w:t xml:space="preserve"> </w:t>
      </w:r>
      <w:r w:rsidRPr="002A0F9C">
        <w:rPr>
          <w:rFonts w:asciiTheme="minorHAnsi" w:hAnsiTheme="minorHAnsi" w:cstheme="minorHAnsi"/>
          <w:i/>
          <w:sz w:val="22"/>
          <w:szCs w:val="22"/>
        </w:rPr>
        <w:t>Transposition of second Shareholders Rights Directive (Directive</w:t>
      </w:r>
      <w:r w:rsidR="007242AF">
        <w:rPr>
          <w:rFonts w:asciiTheme="minorHAnsi" w:hAnsiTheme="minorHAnsi" w:cstheme="minorHAnsi"/>
          <w:i/>
          <w:sz w:val="22"/>
          <w:szCs w:val="22"/>
        </w:rPr>
        <w:t xml:space="preserve"> </w:t>
      </w:r>
      <w:r w:rsidRPr="002A0F9C">
        <w:rPr>
          <w:rFonts w:asciiTheme="minorHAnsi" w:hAnsiTheme="minorHAnsi" w:cstheme="minorHAnsi"/>
          <w:i/>
          <w:sz w:val="22"/>
          <w:szCs w:val="22"/>
        </w:rPr>
        <w:t>(EU</w:t>
      </w:r>
      <w:r w:rsidR="005267FB" w:rsidRPr="002A0F9C">
        <w:rPr>
          <w:rFonts w:asciiTheme="minorHAnsi" w:hAnsiTheme="minorHAnsi" w:cstheme="minorHAnsi"/>
          <w:i/>
          <w:sz w:val="22"/>
          <w:szCs w:val="22"/>
        </w:rPr>
        <w:t>) 2017</w:t>
      </w:r>
      <w:r w:rsidRPr="002A0F9C">
        <w:rPr>
          <w:rFonts w:asciiTheme="minorHAnsi" w:hAnsiTheme="minorHAnsi" w:cstheme="minorHAnsi"/>
          <w:i/>
          <w:sz w:val="22"/>
          <w:szCs w:val="22"/>
        </w:rPr>
        <w:t>/828)</w:t>
      </w:r>
    </w:p>
    <w:p w:rsidR="0095797E" w:rsidRDefault="007242AF" w:rsidP="007242AF">
      <w:pPr>
        <w:spacing w:after="240" w:line="259" w:lineRule="auto"/>
        <w:ind w:left="851" w:hanging="851"/>
        <w:rPr>
          <w:rFonts w:ascii="Calibri" w:hAnsi="Calibri" w:cs="Calibri"/>
          <w:iCs/>
          <w:color w:val="000000" w:themeColor="text1"/>
          <w:sz w:val="22"/>
          <w:szCs w:val="22"/>
        </w:rPr>
      </w:pPr>
      <w:r>
        <w:rPr>
          <w:rFonts w:ascii="Calibri" w:hAnsi="Calibri" w:cs="Calibri"/>
          <w:iCs/>
          <w:color w:val="000000" w:themeColor="text1"/>
          <w:sz w:val="22"/>
          <w:szCs w:val="22"/>
        </w:rPr>
        <w:tab/>
      </w:r>
      <w:r w:rsidR="002A0F9C" w:rsidRPr="002A0F9C">
        <w:rPr>
          <w:rFonts w:ascii="Calibri" w:hAnsi="Calibri" w:cs="Calibri"/>
          <w:iCs/>
          <w:color w:val="000000" w:themeColor="text1"/>
          <w:sz w:val="22"/>
          <w:szCs w:val="22"/>
        </w:rPr>
        <w:t>The deadline for transposition of Directive (EU) 2017/828 (Shareholders’ Rights’</w:t>
      </w:r>
      <w:r>
        <w:rPr>
          <w:rFonts w:ascii="Calibri" w:hAnsi="Calibri" w:cs="Calibri"/>
          <w:iCs/>
          <w:color w:val="000000" w:themeColor="text1"/>
          <w:sz w:val="22"/>
          <w:szCs w:val="22"/>
        </w:rPr>
        <w:t xml:space="preserve"> </w:t>
      </w:r>
      <w:r w:rsidR="002A0F9C" w:rsidRPr="002A0F9C">
        <w:rPr>
          <w:rFonts w:ascii="Calibri" w:hAnsi="Calibri" w:cs="Calibri"/>
          <w:iCs/>
          <w:color w:val="000000" w:themeColor="text1"/>
          <w:sz w:val="22"/>
          <w:szCs w:val="22"/>
        </w:rPr>
        <w:t>Directive) was 10 June 2019.</w:t>
      </w:r>
      <w:r>
        <w:rPr>
          <w:rFonts w:ascii="Calibri" w:hAnsi="Calibri" w:cs="Calibri"/>
          <w:iCs/>
          <w:color w:val="000000" w:themeColor="text1"/>
          <w:sz w:val="22"/>
          <w:szCs w:val="22"/>
        </w:rPr>
        <w:t xml:space="preserve"> </w:t>
      </w:r>
      <w:r w:rsidR="007E2B03">
        <w:rPr>
          <w:rFonts w:ascii="Calibri" w:hAnsi="Calibri" w:cs="Calibri"/>
          <w:iCs/>
          <w:color w:val="000000" w:themeColor="text1"/>
          <w:sz w:val="22"/>
          <w:szCs w:val="22"/>
        </w:rPr>
        <w:t xml:space="preserve"> The Department was </w:t>
      </w:r>
      <w:r w:rsidR="002A0F9C" w:rsidRPr="002A0F9C">
        <w:rPr>
          <w:rFonts w:ascii="Calibri" w:hAnsi="Calibri" w:cs="Calibri"/>
          <w:iCs/>
          <w:color w:val="000000" w:themeColor="text1"/>
          <w:sz w:val="22"/>
          <w:szCs w:val="22"/>
        </w:rPr>
        <w:t>continuing to work intensively with the Office</w:t>
      </w:r>
      <w:r>
        <w:rPr>
          <w:rFonts w:ascii="Calibri" w:hAnsi="Calibri" w:cs="Calibri"/>
          <w:iCs/>
          <w:color w:val="000000" w:themeColor="text1"/>
          <w:sz w:val="22"/>
          <w:szCs w:val="22"/>
        </w:rPr>
        <w:t xml:space="preserve"> </w:t>
      </w:r>
      <w:r w:rsidR="002A0F9C" w:rsidRPr="002A0F9C">
        <w:rPr>
          <w:rFonts w:ascii="Calibri" w:hAnsi="Calibri" w:cs="Calibri"/>
          <w:iCs/>
          <w:color w:val="000000" w:themeColor="text1"/>
          <w:sz w:val="22"/>
          <w:szCs w:val="22"/>
        </w:rPr>
        <w:t>of Parliamentary Counsel</w:t>
      </w:r>
      <w:r>
        <w:rPr>
          <w:rFonts w:ascii="Calibri" w:hAnsi="Calibri" w:cs="Calibri"/>
          <w:iCs/>
          <w:color w:val="000000" w:themeColor="text1"/>
          <w:sz w:val="22"/>
          <w:szCs w:val="22"/>
        </w:rPr>
        <w:t xml:space="preserve"> </w:t>
      </w:r>
      <w:r w:rsidR="002A0F9C" w:rsidRPr="002A0F9C">
        <w:rPr>
          <w:rFonts w:ascii="Calibri" w:hAnsi="Calibri" w:cs="Calibri"/>
          <w:iCs/>
          <w:color w:val="000000" w:themeColor="text1"/>
          <w:sz w:val="22"/>
          <w:szCs w:val="22"/>
        </w:rPr>
        <w:t>on the</w:t>
      </w:r>
      <w:r>
        <w:rPr>
          <w:rFonts w:ascii="Calibri" w:hAnsi="Calibri" w:cs="Calibri"/>
          <w:iCs/>
          <w:color w:val="000000" w:themeColor="text1"/>
          <w:sz w:val="22"/>
          <w:szCs w:val="22"/>
        </w:rPr>
        <w:t xml:space="preserve"> </w:t>
      </w:r>
      <w:r w:rsidR="002A0F9C" w:rsidRPr="002A0F9C">
        <w:rPr>
          <w:rFonts w:ascii="Calibri" w:hAnsi="Calibri" w:cs="Calibri"/>
          <w:iCs/>
          <w:color w:val="000000" w:themeColor="text1"/>
          <w:sz w:val="22"/>
          <w:szCs w:val="22"/>
        </w:rPr>
        <w:t>transposition of the Directive and expect</w:t>
      </w:r>
      <w:r w:rsidR="007E2B03">
        <w:rPr>
          <w:rFonts w:ascii="Calibri" w:hAnsi="Calibri" w:cs="Calibri"/>
          <w:iCs/>
          <w:color w:val="000000" w:themeColor="text1"/>
          <w:sz w:val="22"/>
          <w:szCs w:val="22"/>
        </w:rPr>
        <w:t>ed</w:t>
      </w:r>
      <w:r w:rsidR="002A0F9C" w:rsidRPr="002A0F9C">
        <w:rPr>
          <w:rFonts w:ascii="Calibri" w:hAnsi="Calibri" w:cs="Calibri"/>
          <w:iCs/>
          <w:color w:val="000000" w:themeColor="text1"/>
          <w:sz w:val="22"/>
          <w:szCs w:val="22"/>
        </w:rPr>
        <w:t xml:space="preserve"> that the</w:t>
      </w:r>
      <w:r>
        <w:rPr>
          <w:rFonts w:ascii="Calibri" w:hAnsi="Calibri" w:cs="Calibri"/>
          <w:iCs/>
          <w:color w:val="000000" w:themeColor="text1"/>
          <w:sz w:val="22"/>
          <w:szCs w:val="22"/>
        </w:rPr>
        <w:t xml:space="preserve"> </w:t>
      </w:r>
      <w:r w:rsidR="002A0F9C" w:rsidRPr="002A0F9C">
        <w:rPr>
          <w:rFonts w:ascii="Calibri" w:hAnsi="Calibri" w:cs="Calibri"/>
          <w:iCs/>
          <w:color w:val="000000" w:themeColor="text1"/>
          <w:sz w:val="22"/>
          <w:szCs w:val="22"/>
        </w:rPr>
        <w:t>S.I.</w:t>
      </w:r>
      <w:r>
        <w:rPr>
          <w:rFonts w:ascii="Calibri" w:hAnsi="Calibri" w:cs="Calibri"/>
          <w:iCs/>
          <w:color w:val="000000" w:themeColor="text1"/>
          <w:sz w:val="22"/>
          <w:szCs w:val="22"/>
        </w:rPr>
        <w:t xml:space="preserve"> </w:t>
      </w:r>
      <w:r w:rsidR="007E2B03">
        <w:rPr>
          <w:rFonts w:ascii="Calibri" w:hAnsi="Calibri" w:cs="Calibri"/>
          <w:iCs/>
          <w:color w:val="000000" w:themeColor="text1"/>
          <w:sz w:val="22"/>
          <w:szCs w:val="22"/>
        </w:rPr>
        <w:t xml:space="preserve">would </w:t>
      </w:r>
      <w:r w:rsidR="002A0F9C" w:rsidRPr="002A0F9C">
        <w:rPr>
          <w:rFonts w:ascii="Calibri" w:hAnsi="Calibri" w:cs="Calibri"/>
          <w:iCs/>
          <w:color w:val="000000" w:themeColor="text1"/>
          <w:sz w:val="22"/>
          <w:szCs w:val="22"/>
        </w:rPr>
        <w:t>be finalised very shortly.</w:t>
      </w:r>
      <w:r>
        <w:rPr>
          <w:rFonts w:ascii="Calibri" w:hAnsi="Calibri" w:cs="Calibri"/>
          <w:iCs/>
          <w:color w:val="000000" w:themeColor="text1"/>
          <w:sz w:val="22"/>
          <w:szCs w:val="22"/>
        </w:rPr>
        <w:t xml:space="preserve"> </w:t>
      </w:r>
    </w:p>
    <w:p w:rsidR="0095797E" w:rsidRDefault="00590AF6" w:rsidP="007242AF">
      <w:pPr>
        <w:keepNext/>
        <w:spacing w:after="240" w:line="259" w:lineRule="auto"/>
        <w:ind w:left="851"/>
        <w:rPr>
          <w:rFonts w:asciiTheme="minorHAnsi" w:hAnsiTheme="minorHAnsi" w:cstheme="minorHAnsi"/>
          <w:i/>
          <w:sz w:val="22"/>
          <w:szCs w:val="22"/>
        </w:rPr>
      </w:pPr>
      <w:r w:rsidRPr="002A0F9C">
        <w:rPr>
          <w:rFonts w:asciiTheme="minorHAnsi" w:hAnsiTheme="minorHAnsi" w:cstheme="minorHAnsi"/>
          <w:i/>
          <w:sz w:val="22"/>
          <w:szCs w:val="22"/>
        </w:rPr>
        <w:lastRenderedPageBreak/>
        <w:t>d.</w:t>
      </w:r>
      <w:r w:rsidR="0095797E">
        <w:rPr>
          <w:rFonts w:asciiTheme="minorHAnsi" w:hAnsiTheme="minorHAnsi" w:cstheme="minorHAnsi"/>
          <w:i/>
          <w:sz w:val="22"/>
          <w:szCs w:val="22"/>
        </w:rPr>
        <w:t xml:space="preserve"> </w:t>
      </w:r>
      <w:r w:rsidRPr="002A0F9C">
        <w:rPr>
          <w:rFonts w:asciiTheme="minorHAnsi" w:hAnsiTheme="minorHAnsi" w:cstheme="minorHAnsi"/>
          <w:i/>
          <w:sz w:val="22"/>
          <w:szCs w:val="22"/>
        </w:rPr>
        <w:t>Directive of 18 November 2019 amending Directive (EU) 2017/1132 as regards cross-border conversions, mergers and divisions</w:t>
      </w:r>
    </w:p>
    <w:p w:rsidR="0017253C" w:rsidRPr="0017253C" w:rsidRDefault="0017253C" w:rsidP="007242AF">
      <w:pPr>
        <w:pStyle w:val="NormalWeb"/>
        <w:spacing w:before="0" w:beforeAutospacing="0" w:after="240" w:afterAutospacing="0" w:line="259" w:lineRule="auto"/>
        <w:ind w:left="851"/>
        <w:rPr>
          <w:rFonts w:ascii="Calibri" w:hAnsi="Calibri" w:cs="Calibri"/>
          <w:color w:val="212529"/>
          <w:sz w:val="22"/>
          <w:szCs w:val="22"/>
        </w:rPr>
      </w:pPr>
      <w:r w:rsidRPr="0017253C">
        <w:rPr>
          <w:rFonts w:ascii="Calibri" w:hAnsi="Calibri" w:cs="Calibri"/>
          <w:color w:val="212529"/>
          <w:sz w:val="22"/>
          <w:szCs w:val="22"/>
        </w:rPr>
        <w:t xml:space="preserve">On 27 November 2019, the Directive on cross-border conversions, mergers and divisions was adopted by the European Parliament and the Council (Directive (EU) 2019/2121) </w:t>
      </w:r>
      <w:r w:rsidR="007E2B03">
        <w:rPr>
          <w:rFonts w:ascii="Calibri" w:hAnsi="Calibri" w:cs="Calibri"/>
          <w:color w:val="212529"/>
          <w:sz w:val="22"/>
          <w:szCs w:val="22"/>
        </w:rPr>
        <w:t>This</w:t>
      </w:r>
      <w:r w:rsidRPr="0017253C">
        <w:rPr>
          <w:rFonts w:ascii="Calibri" w:hAnsi="Calibri" w:cs="Calibri"/>
          <w:color w:val="212529"/>
          <w:sz w:val="22"/>
          <w:szCs w:val="22"/>
        </w:rPr>
        <w:t xml:space="preserve"> Directive clarifies the existing rules on cross-border mergers in the EU and, for the first time, </w:t>
      </w:r>
      <w:r w:rsidR="007E2B03">
        <w:rPr>
          <w:rFonts w:ascii="Calibri" w:hAnsi="Calibri" w:cs="Calibri"/>
          <w:color w:val="212529"/>
          <w:sz w:val="22"/>
          <w:szCs w:val="22"/>
        </w:rPr>
        <w:t>has introduced</w:t>
      </w:r>
      <w:r w:rsidRPr="0017253C">
        <w:rPr>
          <w:rFonts w:ascii="Calibri" w:hAnsi="Calibri" w:cs="Calibri"/>
          <w:color w:val="212529"/>
          <w:sz w:val="22"/>
          <w:szCs w:val="22"/>
        </w:rPr>
        <w:t xml:space="preserve"> rules on cross-border conversion and division for all Member States. </w:t>
      </w:r>
    </w:p>
    <w:p w:rsidR="0017253C" w:rsidRPr="0017253C" w:rsidRDefault="0017253C" w:rsidP="007242AF">
      <w:pPr>
        <w:pStyle w:val="NormalWeb"/>
        <w:spacing w:before="0" w:beforeAutospacing="0" w:after="240" w:afterAutospacing="0" w:line="259" w:lineRule="auto"/>
        <w:ind w:left="851"/>
        <w:rPr>
          <w:rFonts w:ascii="Calibri" w:hAnsi="Calibri" w:cs="Calibri"/>
          <w:color w:val="212529"/>
          <w:sz w:val="22"/>
          <w:szCs w:val="22"/>
        </w:rPr>
      </w:pPr>
      <w:r w:rsidRPr="0017253C">
        <w:rPr>
          <w:rFonts w:ascii="Calibri" w:hAnsi="Calibri" w:cs="Calibri"/>
          <w:color w:val="212529"/>
          <w:sz w:val="22"/>
          <w:szCs w:val="22"/>
        </w:rPr>
        <w:t>The Directive entered into force on 1 January 2020 and amended the so-called</w:t>
      </w:r>
      <w:r w:rsidR="007242AF">
        <w:rPr>
          <w:rFonts w:ascii="Calibri" w:hAnsi="Calibri" w:cs="Calibri"/>
          <w:color w:val="212529"/>
          <w:sz w:val="22"/>
          <w:szCs w:val="22"/>
        </w:rPr>
        <w:t xml:space="preserve"> </w:t>
      </w:r>
      <w:r w:rsidR="007E2B03">
        <w:rPr>
          <w:rFonts w:ascii="Calibri" w:hAnsi="Calibri" w:cs="Calibri"/>
          <w:color w:val="212529"/>
          <w:sz w:val="22"/>
          <w:szCs w:val="22"/>
        </w:rPr>
        <w:t xml:space="preserve">Codification </w:t>
      </w:r>
      <w:r w:rsidRPr="0017253C">
        <w:rPr>
          <w:rFonts w:ascii="Calibri" w:hAnsi="Calibri" w:cs="Calibri"/>
          <w:color w:val="212529"/>
          <w:sz w:val="22"/>
          <w:szCs w:val="22"/>
        </w:rPr>
        <w:t xml:space="preserve">Directive 2017/1132. </w:t>
      </w:r>
      <w:r>
        <w:rPr>
          <w:rFonts w:ascii="Calibri" w:hAnsi="Calibri" w:cs="Calibri"/>
          <w:color w:val="212529"/>
          <w:sz w:val="22"/>
          <w:szCs w:val="22"/>
        </w:rPr>
        <w:t>I</w:t>
      </w:r>
      <w:r w:rsidRPr="0017253C">
        <w:rPr>
          <w:rFonts w:ascii="Calibri" w:hAnsi="Calibri" w:cs="Calibri"/>
          <w:color w:val="212529"/>
          <w:sz w:val="22"/>
          <w:szCs w:val="22"/>
        </w:rPr>
        <w:t>ts provisions are not directly applicable</w:t>
      </w:r>
      <w:r w:rsidR="008E165C">
        <w:rPr>
          <w:rFonts w:ascii="Calibri" w:hAnsi="Calibri" w:cs="Calibri"/>
          <w:color w:val="212529"/>
          <w:sz w:val="22"/>
          <w:szCs w:val="22"/>
        </w:rPr>
        <w:t>,</w:t>
      </w:r>
      <w:r w:rsidRPr="0017253C">
        <w:rPr>
          <w:rFonts w:ascii="Calibri" w:hAnsi="Calibri" w:cs="Calibri"/>
          <w:color w:val="212529"/>
          <w:sz w:val="22"/>
          <w:szCs w:val="22"/>
        </w:rPr>
        <w:t xml:space="preserve"> and it is up to the Member States to implement the Directive into national law. Member States must do so by 31 January 2023.</w:t>
      </w:r>
    </w:p>
    <w:p w:rsidR="0095797E" w:rsidRPr="0095797E" w:rsidRDefault="008E165C" w:rsidP="007242AF">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Calibri" w:hAnsi="Calibri"/>
          <w:sz w:val="22"/>
          <w:szCs w:val="22"/>
        </w:rPr>
      </w:pPr>
      <w:r w:rsidRPr="0095797E">
        <w:rPr>
          <w:rFonts w:ascii="Calibri" w:hAnsi="Calibri"/>
          <w:sz w:val="22"/>
          <w:szCs w:val="22"/>
        </w:rPr>
        <w:t xml:space="preserve">Any queries on EU Measures and European Commission Proposals can be directed to the Secretariat at </w:t>
      </w:r>
      <w:hyperlink r:id="rId10" w:history="1">
        <w:r w:rsidRPr="0095797E">
          <w:rPr>
            <w:rStyle w:val="Hyperlink"/>
            <w:rFonts w:ascii="Calibri" w:hAnsi="Calibri"/>
            <w:sz w:val="22"/>
            <w:szCs w:val="22"/>
          </w:rPr>
          <w:t>clrg@dbei.gov.ie</w:t>
        </w:r>
      </w:hyperlink>
      <w:r w:rsidRPr="0095797E">
        <w:rPr>
          <w:rFonts w:ascii="Calibri" w:hAnsi="Calibri"/>
          <w:sz w:val="22"/>
          <w:szCs w:val="22"/>
        </w:rPr>
        <w:t xml:space="preserve"> </w:t>
      </w:r>
    </w:p>
    <w:p w:rsidR="0095797E" w:rsidRDefault="00590AF6" w:rsidP="007242AF">
      <w:pPr>
        <w:pStyle w:val="ListParagraph"/>
        <w:numPr>
          <w:ilvl w:val="0"/>
          <w:numId w:val="2"/>
        </w:numPr>
        <w:tabs>
          <w:tab w:val="clear" w:pos="720"/>
        </w:tabs>
        <w:spacing w:after="240" w:line="259" w:lineRule="auto"/>
        <w:ind w:left="851" w:hanging="851"/>
        <w:contextualSpacing w:val="0"/>
        <w:rPr>
          <w:rFonts w:asciiTheme="minorHAnsi" w:hAnsiTheme="minorHAnsi" w:cstheme="minorHAnsi"/>
          <w:b/>
        </w:rPr>
      </w:pPr>
      <w:r w:rsidRPr="00590AF6">
        <w:rPr>
          <w:b/>
        </w:rPr>
        <w:t xml:space="preserve">Pending Bills </w:t>
      </w:r>
    </w:p>
    <w:p w:rsidR="002A0F9C" w:rsidRPr="008E165C" w:rsidRDefault="008E165C" w:rsidP="007242AF">
      <w:pPr>
        <w:pStyle w:val="ListParagraph"/>
        <w:spacing w:after="240" w:line="259" w:lineRule="auto"/>
        <w:ind w:left="851"/>
        <w:contextualSpacing w:val="0"/>
        <w:rPr>
          <w:rFonts w:asciiTheme="minorHAnsi" w:hAnsiTheme="minorHAnsi" w:cstheme="minorHAnsi"/>
        </w:rPr>
      </w:pPr>
      <w:r w:rsidRPr="008E165C">
        <w:t>The following update was provided:</w:t>
      </w:r>
    </w:p>
    <w:p w:rsidR="0095797E" w:rsidRDefault="00590AF6" w:rsidP="007242AF">
      <w:pPr>
        <w:spacing w:after="240" w:line="259" w:lineRule="auto"/>
        <w:ind w:left="851"/>
        <w:rPr>
          <w:rFonts w:asciiTheme="minorHAnsi" w:hAnsiTheme="minorHAnsi" w:cstheme="minorHAnsi"/>
          <w:sz w:val="22"/>
          <w:szCs w:val="22"/>
        </w:rPr>
      </w:pPr>
      <w:r w:rsidRPr="00444BB8">
        <w:rPr>
          <w:rFonts w:asciiTheme="minorHAnsi" w:hAnsiTheme="minorHAnsi" w:cstheme="minorHAnsi"/>
          <w:i/>
          <w:sz w:val="22"/>
          <w:szCs w:val="22"/>
        </w:rPr>
        <w:t>a.</w:t>
      </w:r>
      <w:r w:rsidR="0095797E">
        <w:rPr>
          <w:rFonts w:asciiTheme="minorHAnsi" w:hAnsiTheme="minorHAnsi" w:cstheme="minorHAnsi"/>
          <w:i/>
          <w:sz w:val="22"/>
          <w:szCs w:val="22"/>
        </w:rPr>
        <w:t xml:space="preserve"> </w:t>
      </w:r>
      <w:r w:rsidRPr="00444BB8">
        <w:rPr>
          <w:rFonts w:asciiTheme="minorHAnsi" w:hAnsiTheme="minorHAnsi" w:cstheme="minorHAnsi"/>
          <w:i/>
          <w:sz w:val="22"/>
          <w:szCs w:val="22"/>
        </w:rPr>
        <w:t>General Scheme of the Companies (Corporate Enforcement Authority) Bill 2018</w:t>
      </w:r>
    </w:p>
    <w:p w:rsidR="002A0F9C" w:rsidRPr="002A0F9C" w:rsidRDefault="002A0F9C" w:rsidP="007242AF">
      <w:pPr>
        <w:spacing w:after="240" w:line="259" w:lineRule="auto"/>
        <w:ind w:left="851"/>
        <w:rPr>
          <w:rFonts w:ascii="Calibri" w:hAnsi="Calibri" w:cs="Calibri"/>
          <w:color w:val="000000" w:themeColor="text1"/>
          <w:sz w:val="22"/>
          <w:szCs w:val="22"/>
        </w:rPr>
      </w:pPr>
      <w:r w:rsidRPr="002A0F9C">
        <w:rPr>
          <w:rFonts w:ascii="Calibri" w:hAnsi="Calibri" w:cs="Calibri"/>
          <w:iCs/>
          <w:color w:val="000000" w:themeColor="text1"/>
          <w:sz w:val="22"/>
          <w:szCs w:val="22"/>
        </w:rPr>
        <w:t>The General Scheme of this Bill was approved by Government and published on 4</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December 2018. The main features of the Bill were agreed as part of the</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Government’s decision to adopt its package of ‘Measures to Enhance Ireland’s</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Corporate, Economic and Regulatory Framework’ (subtitled ‘Ireland combating</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 xml:space="preserve">“white collar crime”) (published November 2017). The General Scheme </w:t>
      </w:r>
      <w:r w:rsidRPr="002A0F9C">
        <w:rPr>
          <w:rFonts w:ascii="Calibri" w:hAnsi="Calibri" w:cs="Calibri"/>
          <w:iCs/>
          <w:color w:val="000000" w:themeColor="text1"/>
          <w:sz w:val="22"/>
          <w:szCs w:val="22"/>
          <w:lang w:val="en-GB"/>
        </w:rPr>
        <w:t>establishes</w:t>
      </w:r>
      <w:r w:rsidR="007242AF">
        <w:rPr>
          <w:rFonts w:ascii="Calibri" w:hAnsi="Calibri" w:cs="Calibri"/>
          <w:iCs/>
          <w:color w:val="000000" w:themeColor="text1"/>
          <w:sz w:val="22"/>
          <w:szCs w:val="22"/>
          <w:lang w:val="en-GB"/>
        </w:rPr>
        <w:t xml:space="preserve"> </w:t>
      </w:r>
      <w:r w:rsidRPr="002A0F9C">
        <w:rPr>
          <w:rFonts w:ascii="Calibri" w:hAnsi="Calibri" w:cs="Calibri"/>
          <w:iCs/>
          <w:color w:val="000000" w:themeColor="text1"/>
          <w:sz w:val="22"/>
          <w:szCs w:val="22"/>
          <w:lang w:val="en-GB"/>
        </w:rPr>
        <w:t>the Office of the Director of Corporate Enforcement (ODCE) as an agency, in the</w:t>
      </w:r>
      <w:r w:rsidR="007242AF">
        <w:rPr>
          <w:rFonts w:ascii="Calibri" w:hAnsi="Calibri" w:cs="Calibri"/>
          <w:iCs/>
          <w:color w:val="000000" w:themeColor="text1"/>
          <w:sz w:val="22"/>
          <w:szCs w:val="22"/>
          <w:lang w:val="en-GB"/>
        </w:rPr>
        <w:t xml:space="preserve"> </w:t>
      </w:r>
      <w:r w:rsidRPr="002A0F9C">
        <w:rPr>
          <w:rFonts w:ascii="Calibri" w:hAnsi="Calibri" w:cs="Calibri"/>
          <w:iCs/>
          <w:color w:val="000000" w:themeColor="text1"/>
          <w:sz w:val="22"/>
          <w:szCs w:val="22"/>
          <w:lang w:val="en-GB"/>
        </w:rPr>
        <w:t>form of a Commission, to be called the Corporate Enforcement Authority.</w:t>
      </w:r>
      <w:r w:rsidR="007242AF">
        <w:rPr>
          <w:rFonts w:ascii="Calibri" w:hAnsi="Calibri" w:cs="Calibri"/>
          <w:iCs/>
          <w:color w:val="000000" w:themeColor="text1"/>
          <w:sz w:val="22"/>
          <w:szCs w:val="22"/>
          <w:lang w:val="en-GB"/>
        </w:rPr>
        <w:t xml:space="preserve"> </w:t>
      </w:r>
    </w:p>
    <w:p w:rsidR="002A0F9C" w:rsidRPr="002A0F9C" w:rsidRDefault="002A0F9C" w:rsidP="007242AF">
      <w:pPr>
        <w:spacing w:after="240" w:line="259" w:lineRule="auto"/>
        <w:ind w:left="851"/>
        <w:rPr>
          <w:rFonts w:ascii="Calibri" w:hAnsi="Calibri" w:cs="Calibri"/>
          <w:color w:val="000000" w:themeColor="text1"/>
          <w:sz w:val="22"/>
          <w:szCs w:val="22"/>
        </w:rPr>
      </w:pPr>
      <w:r w:rsidRPr="002A0F9C">
        <w:rPr>
          <w:rFonts w:ascii="Calibri" w:hAnsi="Calibri" w:cs="Calibri"/>
          <w:iCs/>
          <w:color w:val="000000" w:themeColor="text1"/>
          <w:sz w:val="22"/>
          <w:szCs w:val="22"/>
        </w:rPr>
        <w:t>The Joint Oireachtas Committee on Business, Enterprise and Innovation was</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undertaking Pre-Legislative Scrutiny on the Bill at the time of the dissolution of Dáil</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Éireann and officials from the Department briefed the Committee on 5 February</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2019. The Director of Corporate Enforcement appeared before the Committee on 19</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February 2019. The Chair of the CLRG and Vincent Madigan appeared before the</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Committee on 2 April 2019 as did representatives from the Law Reform Commission.</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At the date of dissolution a date for the Minister’s appearance had still to be</w:t>
      </w:r>
      <w:r w:rsidR="007242AF">
        <w:rPr>
          <w:rFonts w:ascii="Calibri" w:hAnsi="Calibri" w:cs="Calibri"/>
          <w:iCs/>
          <w:color w:val="000000" w:themeColor="text1"/>
          <w:sz w:val="22"/>
          <w:szCs w:val="22"/>
        </w:rPr>
        <w:t xml:space="preserve"> </w:t>
      </w:r>
      <w:r w:rsidR="0095797E">
        <w:rPr>
          <w:rFonts w:ascii="Calibri" w:hAnsi="Calibri" w:cs="Calibri"/>
          <w:iCs/>
          <w:color w:val="000000" w:themeColor="text1"/>
          <w:sz w:val="22"/>
          <w:szCs w:val="22"/>
        </w:rPr>
        <w:t>confirmed.</w:t>
      </w:r>
    </w:p>
    <w:p w:rsidR="0095797E" w:rsidRDefault="002A0F9C" w:rsidP="007242AF">
      <w:pPr>
        <w:spacing w:after="240" w:line="259" w:lineRule="auto"/>
        <w:ind w:left="851"/>
        <w:rPr>
          <w:rFonts w:ascii="Calibri" w:hAnsi="Calibri" w:cs="Calibri"/>
          <w:color w:val="000000" w:themeColor="text1"/>
          <w:sz w:val="22"/>
          <w:szCs w:val="22"/>
        </w:rPr>
      </w:pPr>
      <w:r w:rsidRPr="002A0F9C">
        <w:rPr>
          <w:rFonts w:ascii="Calibri" w:hAnsi="Calibri" w:cs="Calibri"/>
          <w:iCs/>
          <w:color w:val="000000" w:themeColor="text1"/>
          <w:sz w:val="22"/>
          <w:szCs w:val="22"/>
        </w:rPr>
        <w:t>A drafter from the Office of the Parliamentary Counsel worked with the Department</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to complete a draft of the Bill for publication. Publication of which will depend on</w:t>
      </w:r>
      <w:r w:rsidR="007242AF">
        <w:rPr>
          <w:rFonts w:ascii="Calibri" w:hAnsi="Calibri" w:cs="Calibri"/>
          <w:iCs/>
          <w:color w:val="000000" w:themeColor="text1"/>
          <w:sz w:val="22"/>
          <w:szCs w:val="22"/>
        </w:rPr>
        <w:t xml:space="preserve"> </w:t>
      </w:r>
      <w:r w:rsidRPr="002A0F9C">
        <w:rPr>
          <w:rFonts w:ascii="Calibri" w:hAnsi="Calibri" w:cs="Calibri"/>
          <w:iCs/>
          <w:color w:val="000000" w:themeColor="text1"/>
          <w:sz w:val="22"/>
          <w:szCs w:val="22"/>
        </w:rPr>
        <w:t>the outcome of pre-legislative scrutiny.</w:t>
      </w:r>
    </w:p>
    <w:p w:rsidR="0095797E" w:rsidRPr="007E2B03" w:rsidRDefault="008E165C" w:rsidP="007242AF">
      <w:pPr>
        <w:spacing w:after="240" w:line="259" w:lineRule="auto"/>
        <w:ind w:left="851"/>
        <w:rPr>
          <w:rFonts w:asciiTheme="minorHAnsi" w:hAnsiTheme="minorHAnsi" w:cstheme="minorHAnsi"/>
          <w:color w:val="FF0000"/>
          <w:sz w:val="22"/>
          <w:szCs w:val="22"/>
          <w:lang w:val="en-GB" w:eastAsia="en-GB"/>
        </w:rPr>
      </w:pPr>
      <w:r w:rsidRPr="007E2B03">
        <w:rPr>
          <w:rFonts w:asciiTheme="minorHAnsi" w:hAnsiTheme="minorHAnsi" w:cstheme="minorHAnsi"/>
          <w:sz w:val="22"/>
          <w:szCs w:val="22"/>
          <w:lang w:val="en-GB" w:eastAsia="en-GB"/>
        </w:rPr>
        <w:t xml:space="preserve">Any queries on upcoming legislation can be directed to the Secretariat at </w:t>
      </w:r>
      <w:hyperlink r:id="rId11" w:history="1">
        <w:r w:rsidRPr="007E2B03">
          <w:rPr>
            <w:rStyle w:val="Hyperlink"/>
            <w:rFonts w:asciiTheme="minorHAnsi" w:hAnsiTheme="minorHAnsi" w:cstheme="minorHAnsi"/>
            <w:sz w:val="22"/>
            <w:szCs w:val="22"/>
            <w:lang w:val="en-GB" w:eastAsia="en-GB"/>
          </w:rPr>
          <w:t>clrg@dbei.gov.ie</w:t>
        </w:r>
      </w:hyperlink>
      <w:r w:rsidRPr="007E2B03">
        <w:rPr>
          <w:rFonts w:asciiTheme="minorHAnsi" w:hAnsiTheme="minorHAnsi" w:cstheme="minorHAnsi"/>
          <w:color w:val="FF0000"/>
          <w:sz w:val="22"/>
          <w:szCs w:val="22"/>
          <w:lang w:val="en-GB" w:eastAsia="en-GB"/>
        </w:rPr>
        <w:t xml:space="preserve"> </w:t>
      </w:r>
    </w:p>
    <w:p w:rsidR="003B7108" w:rsidRDefault="00B35CEF" w:rsidP="007242AF">
      <w:pPr>
        <w:pStyle w:val="ListParagraph"/>
        <w:keepNext/>
        <w:numPr>
          <w:ilvl w:val="0"/>
          <w:numId w:val="2"/>
        </w:numPr>
        <w:tabs>
          <w:tab w:val="clear" w:pos="720"/>
        </w:tabs>
        <w:spacing w:after="240" w:line="259" w:lineRule="auto"/>
        <w:ind w:left="851" w:hanging="851"/>
        <w:contextualSpacing w:val="0"/>
        <w:rPr>
          <w:rFonts w:asciiTheme="minorHAnsi" w:hAnsiTheme="minorHAnsi" w:cstheme="minorHAnsi"/>
          <w:b/>
          <w:lang w:val="en-GB" w:eastAsia="en-GB"/>
        </w:rPr>
      </w:pPr>
      <w:r w:rsidRPr="00B35CEF">
        <w:rPr>
          <w:rFonts w:asciiTheme="minorHAnsi" w:hAnsiTheme="minorHAnsi" w:cstheme="minorHAnsi"/>
          <w:b/>
          <w:lang w:val="en-GB" w:eastAsia="en-GB"/>
        </w:rPr>
        <w:lastRenderedPageBreak/>
        <w:t>Annual Report 2019</w:t>
      </w:r>
    </w:p>
    <w:p w:rsidR="007E2B03" w:rsidRDefault="003B7108" w:rsidP="007E2B03">
      <w:pPr>
        <w:pStyle w:val="ListParagraph"/>
        <w:spacing w:after="240" w:line="259" w:lineRule="auto"/>
        <w:ind w:left="851"/>
        <w:contextualSpacing w:val="0"/>
        <w:rPr>
          <w:rFonts w:asciiTheme="minorHAnsi" w:hAnsiTheme="minorHAnsi" w:cstheme="minorHAnsi"/>
          <w:lang w:val="en-GB" w:eastAsia="en-GB"/>
        </w:rPr>
      </w:pPr>
      <w:r w:rsidRPr="003B7108">
        <w:rPr>
          <w:rFonts w:asciiTheme="minorHAnsi" w:hAnsiTheme="minorHAnsi" w:cstheme="minorHAnsi"/>
          <w:lang w:val="en-GB" w:eastAsia="en-GB"/>
        </w:rPr>
        <w:t>The Chairperson provided an overview of the Draft Annual Report to the Group</w:t>
      </w:r>
      <w:r w:rsidR="007E2B03">
        <w:rPr>
          <w:rFonts w:asciiTheme="minorHAnsi" w:hAnsiTheme="minorHAnsi" w:cstheme="minorHAnsi"/>
          <w:lang w:val="en-GB" w:eastAsia="en-GB"/>
        </w:rPr>
        <w:t>, noting that the text of the report and its appendices had been furnished to all members</w:t>
      </w:r>
      <w:r w:rsidRPr="003B7108">
        <w:rPr>
          <w:rFonts w:asciiTheme="minorHAnsi" w:hAnsiTheme="minorHAnsi" w:cstheme="minorHAnsi"/>
          <w:lang w:val="en-GB" w:eastAsia="en-GB"/>
        </w:rPr>
        <w:t xml:space="preserve">. </w:t>
      </w:r>
      <w:r w:rsidR="007E2B03">
        <w:rPr>
          <w:rFonts w:asciiTheme="minorHAnsi" w:hAnsiTheme="minorHAnsi" w:cstheme="minorHAnsi"/>
          <w:lang w:val="en-GB" w:eastAsia="en-GB"/>
        </w:rPr>
        <w:t xml:space="preserve"> </w:t>
      </w:r>
      <w:r w:rsidR="007E2B03" w:rsidRPr="003B7108">
        <w:rPr>
          <w:rFonts w:asciiTheme="minorHAnsi" w:hAnsiTheme="minorHAnsi" w:cstheme="minorHAnsi"/>
          <w:lang w:val="en-GB" w:eastAsia="en-GB"/>
        </w:rPr>
        <w:t>The Report provides a</w:t>
      </w:r>
      <w:r w:rsidR="007E2B03">
        <w:rPr>
          <w:rFonts w:asciiTheme="minorHAnsi" w:hAnsiTheme="minorHAnsi" w:cstheme="minorHAnsi"/>
          <w:lang w:val="en-GB" w:eastAsia="en-GB"/>
        </w:rPr>
        <w:t xml:space="preserve"> summary</w:t>
      </w:r>
      <w:r w:rsidR="007E2B03" w:rsidRPr="003B7108">
        <w:rPr>
          <w:rFonts w:asciiTheme="minorHAnsi" w:hAnsiTheme="minorHAnsi" w:cstheme="minorHAnsi"/>
          <w:lang w:val="en-GB" w:eastAsia="en-GB"/>
        </w:rPr>
        <w:t xml:space="preserve"> of the Group’s progress on the Work Programme to date and notes all </w:t>
      </w:r>
      <w:r w:rsidR="005267FB" w:rsidRPr="003B7108">
        <w:rPr>
          <w:rFonts w:asciiTheme="minorHAnsi" w:hAnsiTheme="minorHAnsi" w:cstheme="minorHAnsi"/>
          <w:lang w:val="en-GB" w:eastAsia="en-GB"/>
        </w:rPr>
        <w:t>plenary</w:t>
      </w:r>
      <w:r w:rsidR="007E2B03" w:rsidRPr="003B7108">
        <w:rPr>
          <w:rFonts w:asciiTheme="minorHAnsi" w:hAnsiTheme="minorHAnsi" w:cstheme="minorHAnsi"/>
          <w:lang w:val="en-GB" w:eastAsia="en-GB"/>
        </w:rPr>
        <w:t xml:space="preserve"> meetings as well as outlining the membership of the Group’s various Committees.</w:t>
      </w:r>
      <w:r w:rsidR="007E2B03">
        <w:rPr>
          <w:rFonts w:asciiTheme="minorHAnsi" w:hAnsiTheme="minorHAnsi" w:cstheme="minorHAnsi"/>
          <w:lang w:val="en-GB" w:eastAsia="en-GB"/>
        </w:rPr>
        <w:t xml:space="preserve"> </w:t>
      </w:r>
    </w:p>
    <w:p w:rsidR="0095797E" w:rsidRDefault="007E2B03" w:rsidP="007242AF">
      <w:pPr>
        <w:pStyle w:val="ListParagraph"/>
        <w:spacing w:after="240" w:line="259" w:lineRule="auto"/>
        <w:ind w:left="851"/>
        <w:contextualSpacing w:val="0"/>
        <w:rPr>
          <w:rFonts w:asciiTheme="minorHAnsi" w:hAnsiTheme="minorHAnsi" w:cstheme="minorHAnsi"/>
          <w:lang w:val="en-GB" w:eastAsia="en-GB"/>
        </w:rPr>
      </w:pPr>
      <w:r>
        <w:rPr>
          <w:rFonts w:asciiTheme="minorHAnsi" w:hAnsiTheme="minorHAnsi" w:cstheme="minorHAnsi"/>
          <w:lang w:val="en-GB" w:eastAsia="en-GB"/>
        </w:rPr>
        <w:t xml:space="preserve">There was one outstanding item of drafting to be settled, relating to one proposal of the Corporate Governance </w:t>
      </w:r>
      <w:r w:rsidR="005267FB">
        <w:rPr>
          <w:rFonts w:asciiTheme="minorHAnsi" w:hAnsiTheme="minorHAnsi" w:cstheme="minorHAnsi"/>
          <w:lang w:val="en-GB" w:eastAsia="en-GB"/>
        </w:rPr>
        <w:t>Committee on</w:t>
      </w:r>
      <w:r>
        <w:rPr>
          <w:rFonts w:asciiTheme="minorHAnsi" w:hAnsiTheme="minorHAnsi" w:cstheme="minorHAnsi"/>
          <w:lang w:val="en-GB" w:eastAsia="en-GB"/>
        </w:rPr>
        <w:t xml:space="preserve"> the Summary Approval Procedure.  The Chairperson proposed to liaise with the present and former Chairs of the Committee, Salvador Nash and Ralph MacDarby to finalise that drafting.</w:t>
      </w:r>
    </w:p>
    <w:p w:rsidR="0095797E" w:rsidRDefault="003B7108" w:rsidP="007242AF">
      <w:pPr>
        <w:pStyle w:val="ListParagraph"/>
        <w:spacing w:after="240" w:line="259" w:lineRule="auto"/>
        <w:ind w:left="851"/>
        <w:contextualSpacing w:val="0"/>
        <w:rPr>
          <w:rFonts w:asciiTheme="minorHAnsi" w:hAnsiTheme="minorHAnsi" w:cstheme="minorHAnsi"/>
          <w:lang w:val="en-GB" w:eastAsia="en-GB"/>
        </w:rPr>
      </w:pPr>
      <w:r w:rsidRPr="003B7108">
        <w:rPr>
          <w:rFonts w:asciiTheme="minorHAnsi" w:hAnsiTheme="minorHAnsi" w:cstheme="minorHAnsi"/>
          <w:lang w:val="en-GB" w:eastAsia="en-GB"/>
        </w:rPr>
        <w:t>The Draf</w:t>
      </w:r>
      <w:r w:rsidR="007E2B03">
        <w:rPr>
          <w:rFonts w:asciiTheme="minorHAnsi" w:hAnsiTheme="minorHAnsi" w:cstheme="minorHAnsi"/>
          <w:lang w:val="en-GB" w:eastAsia="en-GB"/>
        </w:rPr>
        <w:t>t Report was adopted, subject to such redrafting as would result from the consultation between the Chairperson and Messrs Nash and MacDarby.</w:t>
      </w:r>
    </w:p>
    <w:p w:rsidR="000B67E7" w:rsidRPr="008176DE" w:rsidRDefault="00590AF6" w:rsidP="007242AF">
      <w:pPr>
        <w:pStyle w:val="BodyTextIndent2"/>
        <w:numPr>
          <w:ilvl w:val="0"/>
          <w:numId w:val="2"/>
        </w:numPr>
        <w:pBdr>
          <w:top w:val="none" w:sz="0" w:space="0" w:color="auto"/>
          <w:left w:val="none" w:sz="0" w:space="0" w:color="auto"/>
          <w:bottom w:val="none" w:sz="0" w:space="0" w:color="auto"/>
          <w:right w:val="none" w:sz="0" w:space="0" w:color="auto"/>
        </w:pBdr>
        <w:tabs>
          <w:tab w:val="clear" w:pos="720"/>
        </w:tabs>
        <w:spacing w:after="240" w:line="259" w:lineRule="auto"/>
        <w:ind w:left="851" w:hanging="851"/>
        <w:rPr>
          <w:rFonts w:ascii="Calibri" w:hAnsi="Calibri"/>
          <w:sz w:val="22"/>
          <w:szCs w:val="22"/>
        </w:rPr>
      </w:pPr>
      <w:r w:rsidRPr="00590AF6">
        <w:rPr>
          <w:rFonts w:asciiTheme="minorHAnsi" w:hAnsiTheme="minorHAnsi" w:cstheme="minorHAnsi"/>
          <w:b/>
          <w:color w:val="222222"/>
          <w:sz w:val="22"/>
          <w:szCs w:val="22"/>
          <w:lang w:eastAsia="en-IE"/>
        </w:rPr>
        <w:t>Committee updat</w:t>
      </w:r>
      <w:r w:rsidRPr="00590AF6">
        <w:rPr>
          <w:b/>
        </w:rPr>
        <w:t>es</w:t>
      </w:r>
      <w:r w:rsidRPr="00590AF6">
        <w:rPr>
          <w:rFonts w:ascii="Calibri" w:hAnsi="Calibri"/>
          <w:b/>
          <w:sz w:val="22"/>
          <w:szCs w:val="22"/>
        </w:rPr>
        <w:t xml:space="preserve"> </w:t>
      </w:r>
    </w:p>
    <w:p w:rsidR="0095797E" w:rsidRDefault="008176DE" w:rsidP="007242AF">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Calibri" w:hAnsi="Calibri"/>
          <w:sz w:val="22"/>
          <w:szCs w:val="22"/>
        </w:rPr>
      </w:pPr>
      <w:r w:rsidRPr="008176DE">
        <w:rPr>
          <w:rFonts w:ascii="Calibri" w:hAnsi="Calibri"/>
          <w:sz w:val="22"/>
          <w:szCs w:val="22"/>
        </w:rPr>
        <w:t>Updates were provided by the various Committee Chairs as detailed below.</w:t>
      </w:r>
    </w:p>
    <w:p w:rsidR="00FD5D04" w:rsidRDefault="00590AF6" w:rsidP="007242AF">
      <w:pPr>
        <w:spacing w:after="240" w:line="259" w:lineRule="auto"/>
        <w:ind w:left="851"/>
        <w:rPr>
          <w:rFonts w:asciiTheme="minorHAnsi" w:hAnsiTheme="minorHAnsi" w:cstheme="minorHAnsi"/>
          <w:b/>
          <w:sz w:val="22"/>
          <w:szCs w:val="22"/>
        </w:rPr>
      </w:pPr>
      <w:r w:rsidRPr="00A445F7">
        <w:rPr>
          <w:rFonts w:asciiTheme="minorHAnsi" w:hAnsiTheme="minorHAnsi" w:cstheme="minorHAnsi"/>
          <w:b/>
          <w:sz w:val="22"/>
          <w:szCs w:val="22"/>
        </w:rPr>
        <w:t>a.</w:t>
      </w:r>
      <w:r w:rsidR="0095797E">
        <w:rPr>
          <w:rFonts w:asciiTheme="minorHAnsi" w:hAnsiTheme="minorHAnsi" w:cstheme="minorHAnsi"/>
          <w:sz w:val="22"/>
          <w:szCs w:val="22"/>
        </w:rPr>
        <w:t xml:space="preserve"> </w:t>
      </w:r>
      <w:r w:rsidRPr="00A445F7">
        <w:rPr>
          <w:rFonts w:asciiTheme="minorHAnsi" w:hAnsiTheme="minorHAnsi" w:cstheme="minorHAnsi"/>
          <w:b/>
          <w:sz w:val="22"/>
          <w:szCs w:val="22"/>
        </w:rPr>
        <w:t>Corporate Enforcement Committee</w:t>
      </w:r>
    </w:p>
    <w:p w:rsidR="00084546" w:rsidRDefault="007E2B03" w:rsidP="00084546">
      <w:pPr>
        <w:spacing w:after="240" w:line="259" w:lineRule="auto"/>
        <w:ind w:left="851"/>
        <w:rPr>
          <w:rFonts w:ascii="Calibri" w:hAnsi="Calibri" w:cs="Calibri"/>
          <w:sz w:val="22"/>
          <w:szCs w:val="22"/>
        </w:rPr>
      </w:pPr>
      <w:r>
        <w:rPr>
          <w:rFonts w:asciiTheme="minorHAnsi" w:hAnsiTheme="minorHAnsi" w:cstheme="minorHAnsi"/>
          <w:sz w:val="22"/>
          <w:szCs w:val="22"/>
        </w:rPr>
        <w:t xml:space="preserve">The Chairperson, </w:t>
      </w:r>
      <w:r w:rsidR="008176DE">
        <w:rPr>
          <w:rFonts w:asciiTheme="minorHAnsi" w:hAnsiTheme="minorHAnsi" w:cstheme="minorHAnsi"/>
          <w:sz w:val="22"/>
          <w:szCs w:val="22"/>
        </w:rPr>
        <w:t>on behalf of Ian Drennan, Committee Chairperson</w:t>
      </w:r>
      <w:r w:rsidR="00084546">
        <w:rPr>
          <w:rFonts w:asciiTheme="minorHAnsi" w:hAnsiTheme="minorHAnsi" w:cstheme="minorHAnsi"/>
          <w:sz w:val="22"/>
          <w:szCs w:val="22"/>
        </w:rPr>
        <w:t xml:space="preserve"> reported </w:t>
      </w:r>
      <w:r w:rsidR="00FD5D04" w:rsidRPr="00FD5D04">
        <w:rPr>
          <w:rFonts w:ascii="Calibri" w:hAnsi="Calibri" w:cs="Calibri"/>
          <w:sz w:val="22"/>
          <w:szCs w:val="22"/>
        </w:rPr>
        <w:t>the reasons as to</w:t>
      </w:r>
      <w:r w:rsidR="007242AF">
        <w:rPr>
          <w:rFonts w:ascii="Calibri" w:hAnsi="Calibri" w:cs="Calibri"/>
          <w:sz w:val="22"/>
          <w:szCs w:val="22"/>
        </w:rPr>
        <w:t xml:space="preserve"> </w:t>
      </w:r>
      <w:r w:rsidR="00FD5D04" w:rsidRPr="00FD5D04">
        <w:rPr>
          <w:rFonts w:ascii="Calibri" w:hAnsi="Calibri" w:cs="Calibri"/>
          <w:sz w:val="22"/>
          <w:szCs w:val="22"/>
        </w:rPr>
        <w:t>why the work of the Committee has been deferred</w:t>
      </w:r>
      <w:r w:rsidR="00084546">
        <w:rPr>
          <w:rFonts w:ascii="Calibri" w:hAnsi="Calibri" w:cs="Calibri"/>
          <w:sz w:val="22"/>
          <w:szCs w:val="22"/>
        </w:rPr>
        <w:t>, in light of the Corporate Enforcement Authority Bill, the Law Reform Commission Report and the issue regarding disclosure of the Anglo Report to the Oireachtas Committee, the Corporate Enforcement Committee’s deliberations and conclusions would in all likelihood be duplicative and might be overtaken by events</w:t>
      </w:r>
    </w:p>
    <w:p w:rsidR="0095797E" w:rsidRDefault="00FD5D04" w:rsidP="005267FB">
      <w:pPr>
        <w:spacing w:after="240" w:line="259" w:lineRule="auto"/>
        <w:ind w:left="851"/>
        <w:rPr>
          <w:rFonts w:ascii="Calibri" w:hAnsi="Calibri" w:cs="Calibri"/>
          <w:sz w:val="22"/>
          <w:szCs w:val="22"/>
        </w:rPr>
      </w:pPr>
      <w:r w:rsidRPr="00FD5D04">
        <w:rPr>
          <w:rFonts w:ascii="Calibri" w:hAnsi="Calibri" w:cs="Calibri"/>
          <w:sz w:val="22"/>
          <w:szCs w:val="22"/>
        </w:rPr>
        <w:t>On a related matter and for</w:t>
      </w:r>
      <w:r w:rsidR="007242AF">
        <w:rPr>
          <w:rFonts w:ascii="Calibri" w:hAnsi="Calibri" w:cs="Calibri"/>
          <w:sz w:val="22"/>
          <w:szCs w:val="22"/>
        </w:rPr>
        <w:t xml:space="preserve"> </w:t>
      </w:r>
      <w:r w:rsidRPr="00FD5D04">
        <w:rPr>
          <w:rFonts w:ascii="Calibri" w:hAnsi="Calibri" w:cs="Calibri"/>
          <w:sz w:val="22"/>
          <w:szCs w:val="22"/>
        </w:rPr>
        <w:t xml:space="preserve">information, a draft report of the Hamilton Group </w:t>
      </w:r>
      <w:r w:rsidR="00084546">
        <w:rPr>
          <w:rFonts w:ascii="Calibri" w:hAnsi="Calibri" w:cs="Calibri"/>
          <w:sz w:val="22"/>
          <w:szCs w:val="22"/>
        </w:rPr>
        <w:t xml:space="preserve">had </w:t>
      </w:r>
      <w:r w:rsidRPr="00FD5D04">
        <w:rPr>
          <w:rFonts w:ascii="Calibri" w:hAnsi="Calibri" w:cs="Calibri"/>
          <w:sz w:val="22"/>
          <w:szCs w:val="22"/>
        </w:rPr>
        <w:t>been circulated to Group</w:t>
      </w:r>
      <w:r w:rsidR="007242AF">
        <w:rPr>
          <w:rFonts w:ascii="Calibri" w:hAnsi="Calibri" w:cs="Calibri"/>
          <w:sz w:val="22"/>
          <w:szCs w:val="22"/>
        </w:rPr>
        <w:t xml:space="preserve"> </w:t>
      </w:r>
      <w:r w:rsidRPr="00FD5D04">
        <w:rPr>
          <w:rFonts w:ascii="Calibri" w:hAnsi="Calibri" w:cs="Calibri"/>
          <w:sz w:val="22"/>
          <w:szCs w:val="22"/>
        </w:rPr>
        <w:t>members in recent weeks</w:t>
      </w:r>
      <w:r w:rsidR="00084546">
        <w:rPr>
          <w:rFonts w:ascii="Calibri" w:hAnsi="Calibri" w:cs="Calibri"/>
          <w:sz w:val="22"/>
          <w:szCs w:val="22"/>
        </w:rPr>
        <w:t xml:space="preserve"> and </w:t>
      </w:r>
      <w:r w:rsidRPr="00FD5D04">
        <w:rPr>
          <w:rFonts w:ascii="Calibri" w:hAnsi="Calibri" w:cs="Calibri"/>
          <w:sz w:val="22"/>
          <w:szCs w:val="22"/>
        </w:rPr>
        <w:t xml:space="preserve">comments on that draft </w:t>
      </w:r>
      <w:r w:rsidR="00084546">
        <w:rPr>
          <w:rFonts w:ascii="Calibri" w:hAnsi="Calibri" w:cs="Calibri"/>
          <w:sz w:val="22"/>
          <w:szCs w:val="22"/>
        </w:rPr>
        <w:t xml:space="preserve">had been furnished </w:t>
      </w:r>
      <w:r w:rsidRPr="00FD5D04">
        <w:rPr>
          <w:rFonts w:ascii="Calibri" w:hAnsi="Calibri" w:cs="Calibri"/>
          <w:sz w:val="22"/>
          <w:szCs w:val="22"/>
        </w:rPr>
        <w:t>to the</w:t>
      </w:r>
      <w:r w:rsidR="007242AF">
        <w:rPr>
          <w:rFonts w:ascii="Calibri" w:hAnsi="Calibri" w:cs="Calibri"/>
          <w:sz w:val="22"/>
          <w:szCs w:val="22"/>
        </w:rPr>
        <w:t xml:space="preserve"> </w:t>
      </w:r>
      <w:r w:rsidRPr="00FD5D04">
        <w:rPr>
          <w:rFonts w:ascii="Calibri" w:hAnsi="Calibri" w:cs="Calibri"/>
          <w:sz w:val="22"/>
          <w:szCs w:val="22"/>
        </w:rPr>
        <w:t xml:space="preserve">Department of Justice. </w:t>
      </w:r>
    </w:p>
    <w:p w:rsidR="00590AF6" w:rsidRPr="00A63282" w:rsidRDefault="00590AF6" w:rsidP="005267FB">
      <w:pPr>
        <w:spacing w:after="240" w:line="259" w:lineRule="auto"/>
        <w:ind w:left="851"/>
        <w:rPr>
          <w:rFonts w:asciiTheme="minorHAnsi" w:hAnsiTheme="minorHAnsi" w:cstheme="minorHAnsi"/>
          <w:sz w:val="22"/>
          <w:szCs w:val="22"/>
        </w:rPr>
      </w:pPr>
      <w:r w:rsidRPr="00A445F7">
        <w:rPr>
          <w:rFonts w:asciiTheme="minorHAnsi" w:hAnsiTheme="minorHAnsi" w:cstheme="minorHAnsi"/>
          <w:b/>
          <w:sz w:val="22"/>
          <w:szCs w:val="22"/>
        </w:rPr>
        <w:t>b.</w:t>
      </w:r>
      <w:r w:rsidR="0095797E">
        <w:rPr>
          <w:rFonts w:asciiTheme="minorHAnsi" w:hAnsiTheme="minorHAnsi" w:cstheme="minorHAnsi"/>
          <w:sz w:val="22"/>
          <w:szCs w:val="22"/>
        </w:rPr>
        <w:t xml:space="preserve"> </w:t>
      </w:r>
      <w:r w:rsidRPr="00A445F7">
        <w:rPr>
          <w:rFonts w:asciiTheme="minorHAnsi" w:hAnsiTheme="minorHAnsi" w:cstheme="minorHAnsi"/>
          <w:b/>
          <w:sz w:val="22"/>
          <w:szCs w:val="22"/>
        </w:rPr>
        <w:t>Corporate Governance Committee</w:t>
      </w:r>
    </w:p>
    <w:p w:rsidR="0095797E" w:rsidRDefault="007242AF" w:rsidP="007242AF">
      <w:pPr>
        <w:spacing w:after="240" w:line="259" w:lineRule="auto"/>
        <w:ind w:left="851" w:hanging="851"/>
        <w:rPr>
          <w:rFonts w:asciiTheme="minorHAnsi" w:hAnsiTheme="minorHAnsi" w:cstheme="minorHAnsi"/>
          <w:sz w:val="22"/>
          <w:szCs w:val="22"/>
        </w:rPr>
      </w:pPr>
      <w:r>
        <w:rPr>
          <w:rFonts w:asciiTheme="minorHAnsi" w:hAnsiTheme="minorHAnsi" w:cstheme="minorHAnsi"/>
          <w:sz w:val="22"/>
          <w:szCs w:val="22"/>
        </w:rPr>
        <w:t xml:space="preserve"> </w:t>
      </w:r>
      <w:r w:rsidR="00084546">
        <w:rPr>
          <w:rFonts w:asciiTheme="minorHAnsi" w:hAnsiTheme="minorHAnsi" w:cstheme="minorHAnsi"/>
          <w:sz w:val="22"/>
          <w:szCs w:val="22"/>
        </w:rPr>
        <w:tab/>
        <w:t xml:space="preserve">Mr </w:t>
      </w:r>
      <w:r w:rsidR="00FD5D04">
        <w:rPr>
          <w:rFonts w:asciiTheme="minorHAnsi" w:hAnsiTheme="minorHAnsi" w:cstheme="minorHAnsi"/>
          <w:sz w:val="22"/>
          <w:szCs w:val="22"/>
        </w:rPr>
        <w:t>Sal</w:t>
      </w:r>
      <w:r w:rsidR="00084546">
        <w:rPr>
          <w:rFonts w:asciiTheme="minorHAnsi" w:hAnsiTheme="minorHAnsi" w:cstheme="minorHAnsi"/>
          <w:sz w:val="22"/>
          <w:szCs w:val="22"/>
        </w:rPr>
        <w:t>vador</w:t>
      </w:r>
      <w:r w:rsidR="00FD5D04">
        <w:rPr>
          <w:rFonts w:asciiTheme="minorHAnsi" w:hAnsiTheme="minorHAnsi" w:cstheme="minorHAnsi"/>
          <w:sz w:val="22"/>
          <w:szCs w:val="22"/>
        </w:rPr>
        <w:t xml:space="preserve"> Nash, Committee</w:t>
      </w:r>
      <w:r>
        <w:rPr>
          <w:rFonts w:asciiTheme="minorHAnsi" w:hAnsiTheme="minorHAnsi" w:cstheme="minorHAnsi"/>
          <w:sz w:val="22"/>
          <w:szCs w:val="22"/>
        </w:rPr>
        <w:t xml:space="preserve"> </w:t>
      </w:r>
      <w:r w:rsidR="005267FB">
        <w:rPr>
          <w:rFonts w:asciiTheme="minorHAnsi" w:hAnsiTheme="minorHAnsi" w:cstheme="minorHAnsi"/>
          <w:sz w:val="22"/>
          <w:szCs w:val="22"/>
        </w:rPr>
        <w:t>Chairperson reported</w:t>
      </w:r>
      <w:r w:rsidR="00084546">
        <w:rPr>
          <w:rFonts w:asciiTheme="minorHAnsi" w:hAnsiTheme="minorHAnsi" w:cstheme="minorHAnsi"/>
          <w:sz w:val="22"/>
          <w:szCs w:val="22"/>
        </w:rPr>
        <w:t xml:space="preserve"> that the Committee continued</w:t>
      </w:r>
      <w:r w:rsidR="009E1295" w:rsidRPr="000F343F">
        <w:rPr>
          <w:rFonts w:asciiTheme="minorHAnsi" w:hAnsiTheme="minorHAnsi" w:cstheme="minorHAnsi"/>
          <w:sz w:val="22"/>
          <w:szCs w:val="22"/>
        </w:rPr>
        <w:t xml:space="preserve"> to work through a number of miscellaneous items</w:t>
      </w:r>
      <w:r w:rsidR="005267FB">
        <w:rPr>
          <w:rFonts w:asciiTheme="minorHAnsi" w:hAnsiTheme="minorHAnsi" w:cstheme="minorHAnsi"/>
          <w:sz w:val="22"/>
          <w:szCs w:val="22"/>
        </w:rPr>
        <w:t xml:space="preserve"> </w:t>
      </w:r>
      <w:r w:rsidR="009E1295" w:rsidRPr="000F343F">
        <w:rPr>
          <w:rFonts w:asciiTheme="minorHAnsi" w:hAnsiTheme="minorHAnsi" w:cstheme="minorHAnsi"/>
          <w:sz w:val="22"/>
          <w:szCs w:val="22"/>
        </w:rPr>
        <w:t xml:space="preserve">referred to it by the Chairperson and </w:t>
      </w:r>
      <w:r w:rsidR="005267FB">
        <w:rPr>
          <w:rFonts w:asciiTheme="minorHAnsi" w:hAnsiTheme="minorHAnsi" w:cstheme="minorHAnsi"/>
          <w:sz w:val="22"/>
          <w:szCs w:val="22"/>
        </w:rPr>
        <w:t xml:space="preserve">as well as finalising its work on the Summary Approval Procedure Report. Its work </w:t>
      </w:r>
      <w:r w:rsidR="00F05482">
        <w:rPr>
          <w:rFonts w:asciiTheme="minorHAnsi" w:hAnsiTheme="minorHAnsi" w:cstheme="minorHAnsi"/>
          <w:sz w:val="22"/>
          <w:szCs w:val="22"/>
        </w:rPr>
        <w:t xml:space="preserve">can be broadly categorised into three categories – </w:t>
      </w:r>
    </w:p>
    <w:p w:rsidR="00F05482" w:rsidRDefault="005267FB" w:rsidP="005267FB">
      <w:pPr>
        <w:pStyle w:val="ListParagraph"/>
        <w:numPr>
          <w:ilvl w:val="0"/>
          <w:numId w:val="31"/>
        </w:numPr>
        <w:spacing w:after="240" w:line="259" w:lineRule="auto"/>
        <w:ind w:left="1276" w:hanging="426"/>
        <w:contextualSpacing w:val="0"/>
        <w:rPr>
          <w:rFonts w:asciiTheme="minorHAnsi" w:hAnsiTheme="minorHAnsi" w:cstheme="minorHAnsi"/>
        </w:rPr>
      </w:pPr>
      <w:r>
        <w:rPr>
          <w:rFonts w:asciiTheme="minorHAnsi" w:hAnsiTheme="minorHAnsi" w:cstheme="minorHAnsi"/>
        </w:rPr>
        <w:t>Finalising the text of its r</w:t>
      </w:r>
      <w:r w:rsidR="00F05482" w:rsidRPr="00F05482">
        <w:rPr>
          <w:rFonts w:asciiTheme="minorHAnsi" w:hAnsiTheme="minorHAnsi" w:cstheme="minorHAnsi"/>
        </w:rPr>
        <w:t>eview of the operation of the Summary Approval Procedure as provided for in the Work Programme</w:t>
      </w:r>
      <w:r w:rsidR="00F05482">
        <w:rPr>
          <w:rFonts w:asciiTheme="minorHAnsi" w:hAnsiTheme="minorHAnsi" w:cstheme="minorHAnsi"/>
        </w:rPr>
        <w:t>;</w:t>
      </w:r>
    </w:p>
    <w:p w:rsidR="00F05482" w:rsidRDefault="00F05482" w:rsidP="005267FB">
      <w:pPr>
        <w:pStyle w:val="ListParagraph"/>
        <w:numPr>
          <w:ilvl w:val="0"/>
          <w:numId w:val="31"/>
        </w:numPr>
        <w:spacing w:after="240" w:line="259" w:lineRule="auto"/>
        <w:ind w:left="1276" w:hanging="426"/>
        <w:contextualSpacing w:val="0"/>
        <w:rPr>
          <w:rFonts w:asciiTheme="minorHAnsi" w:hAnsiTheme="minorHAnsi" w:cstheme="minorHAnsi"/>
        </w:rPr>
      </w:pPr>
      <w:r>
        <w:rPr>
          <w:rFonts w:asciiTheme="minorHAnsi" w:hAnsiTheme="minorHAnsi" w:cstheme="minorHAnsi"/>
        </w:rPr>
        <w:t>I</w:t>
      </w:r>
      <w:r w:rsidRPr="00F05482">
        <w:rPr>
          <w:rFonts w:asciiTheme="minorHAnsi" w:hAnsiTheme="minorHAnsi" w:cstheme="minorHAnsi"/>
        </w:rPr>
        <w:t>tems previously considered by the CLRG which have not been actioned</w:t>
      </w:r>
      <w:r>
        <w:rPr>
          <w:rFonts w:asciiTheme="minorHAnsi" w:hAnsiTheme="minorHAnsi" w:cstheme="minorHAnsi"/>
        </w:rPr>
        <w:t>;</w:t>
      </w:r>
      <w:r w:rsidRPr="00F05482">
        <w:rPr>
          <w:rFonts w:asciiTheme="minorHAnsi" w:hAnsiTheme="minorHAnsi" w:cstheme="minorHAnsi"/>
        </w:rPr>
        <w:t xml:space="preserve"> and</w:t>
      </w:r>
    </w:p>
    <w:p w:rsidR="009E1295" w:rsidRPr="00F05482" w:rsidRDefault="00F05482" w:rsidP="005267FB">
      <w:pPr>
        <w:pStyle w:val="ListParagraph"/>
        <w:numPr>
          <w:ilvl w:val="0"/>
          <w:numId w:val="31"/>
        </w:numPr>
        <w:spacing w:after="240" w:line="259" w:lineRule="auto"/>
        <w:ind w:left="1276" w:hanging="426"/>
        <w:contextualSpacing w:val="0"/>
        <w:rPr>
          <w:rFonts w:asciiTheme="minorHAnsi" w:hAnsiTheme="minorHAnsi" w:cstheme="minorHAnsi"/>
        </w:rPr>
      </w:pPr>
      <w:r>
        <w:rPr>
          <w:rFonts w:asciiTheme="minorHAnsi" w:hAnsiTheme="minorHAnsi" w:cstheme="minorHAnsi"/>
        </w:rPr>
        <w:t>I</w:t>
      </w:r>
      <w:r w:rsidRPr="00F05482">
        <w:rPr>
          <w:rFonts w:asciiTheme="minorHAnsi" w:hAnsiTheme="minorHAnsi" w:cstheme="minorHAnsi"/>
        </w:rPr>
        <w:t>tems which have never been considered by the CLRG.</w:t>
      </w:r>
    </w:p>
    <w:p w:rsidR="0095797E" w:rsidRDefault="00F05482" w:rsidP="005267FB">
      <w:pPr>
        <w:spacing w:after="240" w:line="259" w:lineRule="auto"/>
        <w:ind w:left="851" w:hanging="1"/>
        <w:rPr>
          <w:rFonts w:asciiTheme="minorHAnsi" w:hAnsiTheme="minorHAnsi" w:cstheme="minorHAnsi"/>
          <w:sz w:val="22"/>
          <w:szCs w:val="22"/>
        </w:rPr>
      </w:pPr>
      <w:r>
        <w:rPr>
          <w:rFonts w:asciiTheme="minorHAnsi" w:hAnsiTheme="minorHAnsi" w:cstheme="minorHAnsi"/>
          <w:sz w:val="22"/>
          <w:szCs w:val="22"/>
        </w:rPr>
        <w:t>Where an item has been previously considered, it has been decided that the original recommendation still stands unless further submissions have been made in respect of the issue.</w:t>
      </w:r>
      <w:r w:rsidR="007242AF">
        <w:rPr>
          <w:rFonts w:asciiTheme="minorHAnsi" w:hAnsiTheme="minorHAnsi" w:cstheme="minorHAnsi"/>
          <w:sz w:val="22"/>
          <w:szCs w:val="22"/>
        </w:rPr>
        <w:t xml:space="preserve"> </w:t>
      </w:r>
    </w:p>
    <w:p w:rsidR="00590AF6" w:rsidRPr="005267FB" w:rsidRDefault="00CB7729" w:rsidP="005267FB">
      <w:pPr>
        <w:spacing w:after="240" w:line="259" w:lineRule="auto"/>
        <w:ind w:left="851" w:hanging="1"/>
        <w:rPr>
          <w:rFonts w:ascii="Calibri" w:hAnsi="Calibri" w:cs="Calibri"/>
          <w:sz w:val="22"/>
          <w:szCs w:val="22"/>
        </w:rPr>
      </w:pPr>
      <w:r>
        <w:rPr>
          <w:rFonts w:ascii="Calibri" w:hAnsi="Calibri" w:cs="Calibri"/>
          <w:sz w:val="22"/>
          <w:szCs w:val="22"/>
        </w:rPr>
        <w:lastRenderedPageBreak/>
        <w:t xml:space="preserve">Work continues on those items which have not been subject to any consideration or review by the CLRG. </w:t>
      </w:r>
      <w:r w:rsidR="00035984" w:rsidRPr="00F95268">
        <w:rPr>
          <w:rFonts w:ascii="Calibri" w:hAnsi="Calibri" w:cs="Calibri"/>
          <w:sz w:val="22"/>
          <w:szCs w:val="22"/>
        </w:rPr>
        <w:t xml:space="preserve">Of particular note is a proposed amendment in relation to section 449(1) of the Companies Act </w:t>
      </w:r>
      <w:r w:rsidR="00F95268">
        <w:rPr>
          <w:rFonts w:ascii="Calibri" w:hAnsi="Calibri" w:cs="Calibri"/>
          <w:sz w:val="22"/>
          <w:szCs w:val="22"/>
        </w:rPr>
        <w:t xml:space="preserve">made </w:t>
      </w:r>
      <w:r w:rsidR="00035984" w:rsidRPr="00F95268">
        <w:rPr>
          <w:rFonts w:ascii="Calibri" w:hAnsi="Calibri" w:cs="Calibri"/>
          <w:sz w:val="22"/>
          <w:szCs w:val="22"/>
        </w:rPr>
        <w:t>by Euroclear Bank as part of the</w:t>
      </w:r>
      <w:r w:rsidR="00F95268">
        <w:rPr>
          <w:rFonts w:ascii="Calibri" w:hAnsi="Calibri" w:cs="Calibri"/>
          <w:sz w:val="22"/>
          <w:szCs w:val="22"/>
        </w:rPr>
        <w:t xml:space="preserve"> package of</w:t>
      </w:r>
      <w:r w:rsidR="00035984" w:rsidRPr="00F95268">
        <w:rPr>
          <w:rFonts w:ascii="Calibri" w:hAnsi="Calibri" w:cs="Calibri"/>
          <w:sz w:val="22"/>
          <w:szCs w:val="22"/>
        </w:rPr>
        <w:t xml:space="preserve"> consequential company law amendments </w:t>
      </w:r>
      <w:r w:rsidR="00F95268">
        <w:rPr>
          <w:rFonts w:ascii="Calibri" w:hAnsi="Calibri" w:cs="Calibri"/>
          <w:sz w:val="22"/>
          <w:szCs w:val="22"/>
        </w:rPr>
        <w:t>it considers necessary</w:t>
      </w:r>
      <w:r w:rsidR="00035984" w:rsidRPr="00F95268">
        <w:rPr>
          <w:rFonts w:ascii="Calibri" w:hAnsi="Calibri" w:cs="Calibri"/>
          <w:sz w:val="22"/>
          <w:szCs w:val="22"/>
        </w:rPr>
        <w:t xml:space="preserve"> to facilitate the migration of securities post - Brexit. </w:t>
      </w:r>
      <w:r>
        <w:rPr>
          <w:rFonts w:ascii="Calibri" w:hAnsi="Calibri" w:cs="Calibri"/>
          <w:sz w:val="22"/>
          <w:szCs w:val="22"/>
        </w:rPr>
        <w:t>This is a priority item for the Committee.</w:t>
      </w:r>
    </w:p>
    <w:p w:rsidR="00590AF6" w:rsidRPr="00A445F7" w:rsidRDefault="005267FB" w:rsidP="005267FB">
      <w:pPr>
        <w:pStyle w:val="ListParagraph"/>
        <w:spacing w:after="240" w:line="259" w:lineRule="auto"/>
        <w:ind w:left="851"/>
        <w:contextualSpacing w:val="0"/>
        <w:rPr>
          <w:rFonts w:asciiTheme="minorHAnsi" w:hAnsiTheme="minorHAnsi" w:cstheme="minorHAnsi"/>
          <w:b/>
        </w:rPr>
      </w:pPr>
      <w:r>
        <w:rPr>
          <w:rFonts w:asciiTheme="minorHAnsi" w:hAnsiTheme="minorHAnsi" w:cstheme="minorHAnsi"/>
          <w:b/>
        </w:rPr>
        <w:t xml:space="preserve">c. </w:t>
      </w:r>
      <w:r w:rsidR="00590AF6" w:rsidRPr="00A445F7">
        <w:rPr>
          <w:rFonts w:asciiTheme="minorHAnsi" w:hAnsiTheme="minorHAnsi" w:cstheme="minorHAnsi"/>
          <w:b/>
        </w:rPr>
        <w:t>Insolvency Committee</w:t>
      </w:r>
    </w:p>
    <w:p w:rsidR="0095797E" w:rsidRDefault="005267FB" w:rsidP="007242AF">
      <w:pPr>
        <w:pStyle w:val="ListParagraph"/>
        <w:numPr>
          <w:ilvl w:val="0"/>
          <w:numId w:val="29"/>
        </w:numPr>
        <w:spacing w:after="240" w:line="259" w:lineRule="auto"/>
        <w:ind w:left="851" w:hanging="851"/>
        <w:contextualSpacing w:val="0"/>
        <w:rPr>
          <w:rFonts w:asciiTheme="minorHAnsi" w:hAnsiTheme="minorHAnsi" w:cstheme="minorHAnsi"/>
        </w:rPr>
      </w:pPr>
      <w:r>
        <w:rPr>
          <w:rFonts w:asciiTheme="minorHAnsi" w:hAnsiTheme="minorHAnsi" w:cstheme="minorHAnsi"/>
        </w:rPr>
        <w:t xml:space="preserve">Professor </w:t>
      </w:r>
      <w:r w:rsidR="000F2033">
        <w:rPr>
          <w:rFonts w:asciiTheme="minorHAnsi" w:hAnsiTheme="minorHAnsi" w:cstheme="minorHAnsi"/>
        </w:rPr>
        <w:t>Irene Lynch-Fannon,</w:t>
      </w:r>
      <w:r w:rsidR="007242AF">
        <w:rPr>
          <w:rFonts w:asciiTheme="minorHAnsi" w:hAnsiTheme="minorHAnsi" w:cstheme="minorHAnsi"/>
        </w:rPr>
        <w:t xml:space="preserve"> </w:t>
      </w:r>
      <w:r w:rsidR="000F2033">
        <w:rPr>
          <w:rFonts w:asciiTheme="minorHAnsi" w:hAnsiTheme="minorHAnsi" w:cstheme="minorHAnsi"/>
        </w:rPr>
        <w:t>Committee Chairperson</w:t>
      </w:r>
      <w:r>
        <w:rPr>
          <w:rFonts w:asciiTheme="minorHAnsi" w:hAnsiTheme="minorHAnsi" w:cstheme="minorHAnsi"/>
        </w:rPr>
        <w:t xml:space="preserve"> reported to the meeting.</w:t>
      </w:r>
    </w:p>
    <w:p w:rsidR="00632F63" w:rsidRDefault="00632F63"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The Department of Business, Enterprise and Innovation sought submissions to a</w:t>
      </w:r>
      <w:r w:rsidR="007242AF">
        <w:rPr>
          <w:rFonts w:asciiTheme="minorHAnsi" w:hAnsiTheme="minorHAnsi" w:cstheme="minorHAnsi"/>
          <w:sz w:val="22"/>
          <w:szCs w:val="22"/>
        </w:rPr>
        <w:t xml:space="preserve"> </w:t>
      </w:r>
      <w:r>
        <w:rPr>
          <w:rFonts w:asciiTheme="minorHAnsi" w:hAnsiTheme="minorHAnsi" w:cstheme="minorHAnsi"/>
          <w:sz w:val="22"/>
          <w:szCs w:val="22"/>
        </w:rPr>
        <w:t>public consultation on the transposition of Directive (EU) 2019/1023 of the</w:t>
      </w:r>
      <w:r w:rsidR="007242AF">
        <w:rPr>
          <w:rFonts w:asciiTheme="minorHAnsi" w:hAnsiTheme="minorHAnsi" w:cstheme="minorHAnsi"/>
          <w:sz w:val="22"/>
          <w:szCs w:val="22"/>
        </w:rPr>
        <w:t xml:space="preserve"> </w:t>
      </w:r>
      <w:r>
        <w:rPr>
          <w:rFonts w:asciiTheme="minorHAnsi" w:hAnsiTheme="minorHAnsi" w:cstheme="minorHAnsi"/>
          <w:sz w:val="22"/>
          <w:szCs w:val="22"/>
        </w:rPr>
        <w:t>European Parliament and of the Council of 20 June 2019, amending Directive (EU)</w:t>
      </w:r>
      <w:r w:rsidR="007242AF">
        <w:rPr>
          <w:rFonts w:asciiTheme="minorHAnsi" w:hAnsiTheme="minorHAnsi" w:cstheme="minorHAnsi"/>
          <w:sz w:val="22"/>
          <w:szCs w:val="22"/>
        </w:rPr>
        <w:t xml:space="preserve"> </w:t>
      </w:r>
      <w:r>
        <w:rPr>
          <w:rFonts w:asciiTheme="minorHAnsi" w:hAnsiTheme="minorHAnsi" w:cstheme="minorHAnsi"/>
          <w:sz w:val="22"/>
          <w:szCs w:val="22"/>
        </w:rPr>
        <w:t>2017/1132 on restructuring and insolvency. The Directive seeks to reduce barriers</w:t>
      </w:r>
      <w:r w:rsidR="007242AF">
        <w:rPr>
          <w:rFonts w:asciiTheme="minorHAnsi" w:hAnsiTheme="minorHAnsi" w:cstheme="minorHAnsi"/>
          <w:sz w:val="22"/>
          <w:szCs w:val="22"/>
        </w:rPr>
        <w:t xml:space="preserve"> </w:t>
      </w:r>
      <w:r>
        <w:rPr>
          <w:rFonts w:asciiTheme="minorHAnsi" w:hAnsiTheme="minorHAnsi" w:cstheme="minorHAnsi"/>
          <w:sz w:val="22"/>
          <w:szCs w:val="22"/>
        </w:rPr>
        <w:t>for cross border investment, reduce the cost of insolvency and support efforts to</w:t>
      </w:r>
      <w:r w:rsidR="007242AF">
        <w:rPr>
          <w:rFonts w:asciiTheme="minorHAnsi" w:hAnsiTheme="minorHAnsi" w:cstheme="minorHAnsi"/>
          <w:sz w:val="22"/>
          <w:szCs w:val="22"/>
        </w:rPr>
        <w:t xml:space="preserve"> </w:t>
      </w:r>
      <w:r>
        <w:rPr>
          <w:rFonts w:asciiTheme="minorHAnsi" w:hAnsiTheme="minorHAnsi" w:cstheme="minorHAnsi"/>
          <w:sz w:val="22"/>
          <w:szCs w:val="22"/>
        </w:rPr>
        <w:t xml:space="preserve">reduce non-performing loans. </w:t>
      </w:r>
    </w:p>
    <w:p w:rsidR="00632F63" w:rsidRDefault="00632F63"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The Committee is currently finalising a draft response to the consultation which has</w:t>
      </w:r>
      <w:r w:rsidR="007242AF">
        <w:rPr>
          <w:rFonts w:asciiTheme="minorHAnsi" w:hAnsiTheme="minorHAnsi" w:cstheme="minorHAnsi"/>
          <w:sz w:val="22"/>
          <w:szCs w:val="22"/>
        </w:rPr>
        <w:t xml:space="preserve"> </w:t>
      </w:r>
      <w:r>
        <w:rPr>
          <w:rFonts w:asciiTheme="minorHAnsi" w:hAnsiTheme="minorHAnsi" w:cstheme="minorHAnsi"/>
          <w:sz w:val="22"/>
          <w:szCs w:val="22"/>
        </w:rPr>
        <w:t>sought views only in respect of the discretionary elements of the Directive.</w:t>
      </w:r>
    </w:p>
    <w:p w:rsidR="00632F63" w:rsidRDefault="00632F63"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The Committee note that the consultation is drafted in such a way so as to examine</w:t>
      </w:r>
      <w:r w:rsidR="007242AF">
        <w:rPr>
          <w:rFonts w:asciiTheme="minorHAnsi" w:hAnsiTheme="minorHAnsi" w:cstheme="minorHAnsi"/>
          <w:sz w:val="22"/>
          <w:szCs w:val="22"/>
        </w:rPr>
        <w:t xml:space="preserve"> </w:t>
      </w:r>
      <w:r>
        <w:rPr>
          <w:rFonts w:asciiTheme="minorHAnsi" w:hAnsiTheme="minorHAnsi" w:cstheme="minorHAnsi"/>
          <w:sz w:val="22"/>
          <w:szCs w:val="22"/>
        </w:rPr>
        <w:t>the Directive against Ireland’s existing examinership process, seeking to highlight</w:t>
      </w:r>
      <w:r w:rsidR="007242AF">
        <w:rPr>
          <w:rFonts w:asciiTheme="minorHAnsi" w:hAnsiTheme="minorHAnsi" w:cstheme="minorHAnsi"/>
          <w:sz w:val="22"/>
          <w:szCs w:val="22"/>
        </w:rPr>
        <w:t xml:space="preserve"> </w:t>
      </w:r>
      <w:r>
        <w:rPr>
          <w:rFonts w:asciiTheme="minorHAnsi" w:hAnsiTheme="minorHAnsi" w:cstheme="minorHAnsi"/>
          <w:sz w:val="22"/>
          <w:szCs w:val="22"/>
        </w:rPr>
        <w:t>areas where examinership may need to be adjusted to comply with the Directive.</w:t>
      </w:r>
      <w:r w:rsidR="007242AF">
        <w:rPr>
          <w:rFonts w:asciiTheme="minorHAnsi" w:hAnsiTheme="minorHAnsi" w:cstheme="minorHAnsi"/>
          <w:sz w:val="22"/>
          <w:szCs w:val="22"/>
        </w:rPr>
        <w:t xml:space="preserve"> </w:t>
      </w:r>
      <w:r>
        <w:rPr>
          <w:rFonts w:asciiTheme="minorHAnsi" w:hAnsiTheme="minorHAnsi" w:cstheme="minorHAnsi"/>
          <w:sz w:val="22"/>
          <w:szCs w:val="22"/>
        </w:rPr>
        <w:t>However, there was consensus amongst the Committee that certain of the</w:t>
      </w:r>
      <w:r w:rsidR="007242AF">
        <w:rPr>
          <w:rFonts w:asciiTheme="minorHAnsi" w:hAnsiTheme="minorHAnsi" w:cstheme="minorHAnsi"/>
          <w:sz w:val="22"/>
          <w:szCs w:val="22"/>
        </w:rPr>
        <w:t xml:space="preserve"> </w:t>
      </w:r>
      <w:r>
        <w:rPr>
          <w:rFonts w:asciiTheme="minorHAnsi" w:hAnsiTheme="minorHAnsi" w:cstheme="minorHAnsi"/>
          <w:sz w:val="22"/>
          <w:szCs w:val="22"/>
        </w:rPr>
        <w:t>provisions of the Directive sit more comfortably within Ireland’s scheme of</w:t>
      </w:r>
      <w:r w:rsidR="007242AF">
        <w:rPr>
          <w:rFonts w:asciiTheme="minorHAnsi" w:hAnsiTheme="minorHAnsi" w:cstheme="minorHAnsi"/>
          <w:sz w:val="22"/>
          <w:szCs w:val="22"/>
        </w:rPr>
        <w:t xml:space="preserve"> </w:t>
      </w:r>
      <w:r>
        <w:rPr>
          <w:rFonts w:asciiTheme="minorHAnsi" w:hAnsiTheme="minorHAnsi" w:cstheme="minorHAnsi"/>
          <w:sz w:val="22"/>
          <w:szCs w:val="22"/>
        </w:rPr>
        <w:t xml:space="preserve">arrangement process. </w:t>
      </w:r>
    </w:p>
    <w:p w:rsidR="00632F63" w:rsidRDefault="00632F63"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The Committee would urge the Department to consider the totality of corporate</w:t>
      </w:r>
      <w:r w:rsidR="007242AF">
        <w:rPr>
          <w:rFonts w:asciiTheme="minorHAnsi" w:hAnsiTheme="minorHAnsi" w:cstheme="minorHAnsi"/>
          <w:sz w:val="22"/>
          <w:szCs w:val="22"/>
        </w:rPr>
        <w:t xml:space="preserve"> </w:t>
      </w:r>
      <w:r>
        <w:rPr>
          <w:rFonts w:asciiTheme="minorHAnsi" w:hAnsiTheme="minorHAnsi" w:cstheme="minorHAnsi"/>
          <w:sz w:val="22"/>
          <w:szCs w:val="22"/>
        </w:rPr>
        <w:t>restructuring processes in the State rather than confine itself solely to</w:t>
      </w:r>
      <w:r w:rsidR="007242AF">
        <w:rPr>
          <w:rFonts w:asciiTheme="minorHAnsi" w:hAnsiTheme="minorHAnsi" w:cstheme="minorHAnsi"/>
          <w:sz w:val="22"/>
          <w:szCs w:val="22"/>
        </w:rPr>
        <w:t xml:space="preserve"> </w:t>
      </w:r>
      <w:r>
        <w:rPr>
          <w:rFonts w:asciiTheme="minorHAnsi" w:hAnsiTheme="minorHAnsi" w:cstheme="minorHAnsi"/>
          <w:sz w:val="22"/>
          <w:szCs w:val="22"/>
        </w:rPr>
        <w:t>examinership. The overall view of the Committee was that examinership is an</w:t>
      </w:r>
      <w:r w:rsidR="007242AF">
        <w:rPr>
          <w:rFonts w:asciiTheme="minorHAnsi" w:hAnsiTheme="minorHAnsi" w:cstheme="minorHAnsi"/>
          <w:sz w:val="22"/>
          <w:szCs w:val="22"/>
        </w:rPr>
        <w:t xml:space="preserve"> </w:t>
      </w:r>
      <w:r>
        <w:rPr>
          <w:rFonts w:asciiTheme="minorHAnsi" w:hAnsiTheme="minorHAnsi" w:cstheme="minorHAnsi"/>
          <w:sz w:val="22"/>
          <w:szCs w:val="22"/>
        </w:rPr>
        <w:t xml:space="preserve">excellent tool and we are already ahead of Europe </w:t>
      </w:r>
      <w:r w:rsidR="00B066F0">
        <w:rPr>
          <w:rFonts w:asciiTheme="minorHAnsi" w:hAnsiTheme="minorHAnsi" w:cstheme="minorHAnsi"/>
          <w:sz w:val="22"/>
          <w:szCs w:val="22"/>
        </w:rPr>
        <w:t>when it comes to corporate</w:t>
      </w:r>
      <w:r w:rsidR="007242AF">
        <w:rPr>
          <w:rFonts w:asciiTheme="minorHAnsi" w:hAnsiTheme="minorHAnsi" w:cstheme="minorHAnsi"/>
          <w:sz w:val="22"/>
          <w:szCs w:val="22"/>
        </w:rPr>
        <w:t xml:space="preserve"> </w:t>
      </w:r>
      <w:r w:rsidR="00B066F0">
        <w:rPr>
          <w:rFonts w:asciiTheme="minorHAnsi" w:hAnsiTheme="minorHAnsi" w:cstheme="minorHAnsi"/>
          <w:sz w:val="22"/>
          <w:szCs w:val="22"/>
        </w:rPr>
        <w:t>rescue</w:t>
      </w:r>
      <w:r>
        <w:rPr>
          <w:rFonts w:asciiTheme="minorHAnsi" w:hAnsiTheme="minorHAnsi" w:cstheme="minorHAnsi"/>
          <w:sz w:val="22"/>
          <w:szCs w:val="22"/>
        </w:rPr>
        <w:t xml:space="preserve">. </w:t>
      </w:r>
    </w:p>
    <w:p w:rsidR="0095797E" w:rsidRDefault="00A445F7"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Given the tight time frame within which a response needed to be prepared, it will</w:t>
      </w:r>
      <w:r w:rsidR="007242AF">
        <w:rPr>
          <w:rFonts w:asciiTheme="minorHAnsi" w:hAnsiTheme="minorHAnsi" w:cstheme="minorHAnsi"/>
          <w:sz w:val="22"/>
          <w:szCs w:val="22"/>
        </w:rPr>
        <w:t xml:space="preserve"> </w:t>
      </w:r>
      <w:r>
        <w:rPr>
          <w:rFonts w:asciiTheme="minorHAnsi" w:hAnsiTheme="minorHAnsi" w:cstheme="minorHAnsi"/>
          <w:sz w:val="22"/>
          <w:szCs w:val="22"/>
        </w:rPr>
        <w:t>not be possible to give the full Review Group an opportunity to make substantive</w:t>
      </w:r>
      <w:r w:rsidR="007242AF">
        <w:rPr>
          <w:rFonts w:asciiTheme="minorHAnsi" w:hAnsiTheme="minorHAnsi" w:cstheme="minorHAnsi"/>
          <w:sz w:val="22"/>
          <w:szCs w:val="22"/>
        </w:rPr>
        <w:t xml:space="preserve"> </w:t>
      </w:r>
      <w:r>
        <w:rPr>
          <w:rFonts w:asciiTheme="minorHAnsi" w:hAnsiTheme="minorHAnsi" w:cstheme="minorHAnsi"/>
          <w:sz w:val="22"/>
          <w:szCs w:val="22"/>
        </w:rPr>
        <w:t>comments on the submission. It will however be circulated for information.</w:t>
      </w:r>
    </w:p>
    <w:p w:rsidR="00590AF6" w:rsidRPr="00A445F7" w:rsidRDefault="00590AF6" w:rsidP="005267FB">
      <w:pPr>
        <w:spacing w:after="240" w:line="259" w:lineRule="auto"/>
        <w:ind w:left="851"/>
        <w:rPr>
          <w:rFonts w:asciiTheme="minorHAnsi" w:hAnsiTheme="minorHAnsi" w:cstheme="minorHAnsi"/>
          <w:b/>
          <w:sz w:val="22"/>
          <w:szCs w:val="22"/>
        </w:rPr>
      </w:pPr>
      <w:r w:rsidRPr="00A445F7">
        <w:rPr>
          <w:rFonts w:asciiTheme="minorHAnsi" w:hAnsiTheme="minorHAnsi" w:cstheme="minorHAnsi"/>
          <w:b/>
          <w:sz w:val="22"/>
          <w:szCs w:val="22"/>
        </w:rPr>
        <w:t>d.</w:t>
      </w:r>
      <w:r w:rsidR="0095797E">
        <w:rPr>
          <w:rFonts w:asciiTheme="minorHAnsi" w:hAnsiTheme="minorHAnsi" w:cstheme="minorHAnsi"/>
          <w:b/>
          <w:sz w:val="22"/>
          <w:szCs w:val="22"/>
        </w:rPr>
        <w:t xml:space="preserve"> </w:t>
      </w:r>
      <w:r w:rsidRPr="00A445F7">
        <w:rPr>
          <w:rFonts w:asciiTheme="minorHAnsi" w:hAnsiTheme="minorHAnsi" w:cstheme="minorHAnsi"/>
          <w:b/>
          <w:sz w:val="22"/>
          <w:szCs w:val="22"/>
        </w:rPr>
        <w:t>Part 23 Committee</w:t>
      </w:r>
    </w:p>
    <w:p w:rsidR="0095797E" w:rsidRDefault="005267FB"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 xml:space="preserve">The </w:t>
      </w:r>
      <w:r w:rsidR="00B066F0">
        <w:rPr>
          <w:rFonts w:asciiTheme="minorHAnsi" w:hAnsiTheme="minorHAnsi" w:cstheme="minorHAnsi"/>
          <w:sz w:val="22"/>
          <w:szCs w:val="22"/>
        </w:rPr>
        <w:t>Chairperson</w:t>
      </w:r>
      <w:r>
        <w:rPr>
          <w:rFonts w:asciiTheme="minorHAnsi" w:hAnsiTheme="minorHAnsi" w:cstheme="minorHAnsi"/>
          <w:sz w:val="22"/>
          <w:szCs w:val="22"/>
        </w:rPr>
        <w:t xml:space="preserve"> reported that t</w:t>
      </w:r>
      <w:r w:rsidR="00B066F0">
        <w:rPr>
          <w:rFonts w:asciiTheme="minorHAnsi" w:hAnsiTheme="minorHAnsi" w:cstheme="minorHAnsi"/>
          <w:sz w:val="22"/>
          <w:szCs w:val="22"/>
        </w:rPr>
        <w:t xml:space="preserve">he </w:t>
      </w:r>
      <w:r>
        <w:rPr>
          <w:rFonts w:asciiTheme="minorHAnsi" w:hAnsiTheme="minorHAnsi" w:cstheme="minorHAnsi"/>
          <w:sz w:val="22"/>
          <w:szCs w:val="22"/>
        </w:rPr>
        <w:t>continued</w:t>
      </w:r>
      <w:r w:rsidR="00B066F0">
        <w:rPr>
          <w:rFonts w:asciiTheme="minorHAnsi" w:hAnsiTheme="minorHAnsi" w:cstheme="minorHAnsi"/>
          <w:sz w:val="22"/>
          <w:szCs w:val="22"/>
        </w:rPr>
        <w:t xml:space="preserve"> to examine the consequential company law</w:t>
      </w:r>
      <w:r w:rsidR="007242AF">
        <w:rPr>
          <w:rFonts w:asciiTheme="minorHAnsi" w:hAnsiTheme="minorHAnsi" w:cstheme="minorHAnsi"/>
          <w:sz w:val="22"/>
          <w:szCs w:val="22"/>
        </w:rPr>
        <w:t xml:space="preserve"> </w:t>
      </w:r>
      <w:r w:rsidR="00B066F0">
        <w:rPr>
          <w:rFonts w:asciiTheme="minorHAnsi" w:hAnsiTheme="minorHAnsi" w:cstheme="minorHAnsi"/>
          <w:sz w:val="22"/>
          <w:szCs w:val="22"/>
        </w:rPr>
        <w:t>amendments which Euroclear Belgium consider necessary to facilitate the migration</w:t>
      </w:r>
      <w:r w:rsidR="007242AF">
        <w:rPr>
          <w:rFonts w:asciiTheme="minorHAnsi" w:hAnsiTheme="minorHAnsi" w:cstheme="minorHAnsi"/>
          <w:sz w:val="22"/>
          <w:szCs w:val="22"/>
        </w:rPr>
        <w:t xml:space="preserve"> </w:t>
      </w:r>
      <w:r>
        <w:rPr>
          <w:rFonts w:asciiTheme="minorHAnsi" w:hAnsiTheme="minorHAnsi" w:cstheme="minorHAnsi"/>
          <w:sz w:val="22"/>
          <w:szCs w:val="22"/>
        </w:rPr>
        <w:t>of securities post-</w:t>
      </w:r>
      <w:r w:rsidR="00B066F0">
        <w:rPr>
          <w:rFonts w:asciiTheme="minorHAnsi" w:hAnsiTheme="minorHAnsi" w:cstheme="minorHAnsi"/>
          <w:sz w:val="22"/>
          <w:szCs w:val="22"/>
        </w:rPr>
        <w:t>Brexit. A draft report from the Committee is at an initial stage</w:t>
      </w:r>
      <w:r w:rsidR="007242AF">
        <w:rPr>
          <w:rFonts w:asciiTheme="minorHAnsi" w:hAnsiTheme="minorHAnsi" w:cstheme="minorHAnsi"/>
          <w:sz w:val="22"/>
          <w:szCs w:val="22"/>
        </w:rPr>
        <w:t xml:space="preserve"> </w:t>
      </w:r>
      <w:r w:rsidR="00B066F0">
        <w:rPr>
          <w:rFonts w:asciiTheme="minorHAnsi" w:hAnsiTheme="minorHAnsi" w:cstheme="minorHAnsi"/>
          <w:sz w:val="22"/>
          <w:szCs w:val="22"/>
        </w:rPr>
        <w:t>and will be circulated for comment in the coming weeks before submission to the</w:t>
      </w:r>
      <w:r w:rsidR="007242AF">
        <w:rPr>
          <w:rFonts w:asciiTheme="minorHAnsi" w:hAnsiTheme="minorHAnsi" w:cstheme="minorHAnsi"/>
          <w:sz w:val="22"/>
          <w:szCs w:val="22"/>
        </w:rPr>
        <w:t xml:space="preserve"> </w:t>
      </w:r>
      <w:r w:rsidR="00B066F0">
        <w:rPr>
          <w:rFonts w:asciiTheme="minorHAnsi" w:hAnsiTheme="minorHAnsi" w:cstheme="minorHAnsi"/>
          <w:sz w:val="22"/>
          <w:szCs w:val="22"/>
        </w:rPr>
        <w:t xml:space="preserve">Minister. </w:t>
      </w:r>
    </w:p>
    <w:p w:rsidR="00590AF6" w:rsidRPr="00A445F7" w:rsidRDefault="00590AF6" w:rsidP="005267FB">
      <w:pPr>
        <w:spacing w:after="240" w:line="259" w:lineRule="auto"/>
        <w:ind w:left="851"/>
        <w:rPr>
          <w:rFonts w:asciiTheme="minorHAnsi" w:hAnsiTheme="minorHAnsi" w:cstheme="minorHAnsi"/>
          <w:b/>
          <w:sz w:val="22"/>
          <w:szCs w:val="22"/>
        </w:rPr>
      </w:pPr>
      <w:r w:rsidRPr="00A445F7">
        <w:rPr>
          <w:rFonts w:asciiTheme="minorHAnsi" w:hAnsiTheme="minorHAnsi" w:cstheme="minorHAnsi"/>
          <w:b/>
          <w:sz w:val="22"/>
          <w:szCs w:val="22"/>
        </w:rPr>
        <w:t>e.</w:t>
      </w:r>
      <w:r w:rsidR="0095797E">
        <w:rPr>
          <w:rFonts w:asciiTheme="minorHAnsi" w:hAnsiTheme="minorHAnsi" w:cstheme="minorHAnsi"/>
          <w:b/>
          <w:sz w:val="22"/>
          <w:szCs w:val="22"/>
        </w:rPr>
        <w:t xml:space="preserve"> </w:t>
      </w:r>
      <w:r w:rsidRPr="00A445F7">
        <w:rPr>
          <w:rFonts w:asciiTheme="minorHAnsi" w:hAnsiTheme="minorHAnsi" w:cstheme="minorHAnsi"/>
          <w:b/>
          <w:sz w:val="22"/>
          <w:szCs w:val="22"/>
        </w:rPr>
        <w:t>Statutory Committee</w:t>
      </w:r>
    </w:p>
    <w:p w:rsidR="0095797E" w:rsidRDefault="005267FB" w:rsidP="005267FB">
      <w:pPr>
        <w:spacing w:after="240" w:line="259" w:lineRule="auto"/>
        <w:ind w:left="851"/>
        <w:rPr>
          <w:rFonts w:asciiTheme="minorHAnsi" w:hAnsiTheme="minorHAnsi" w:cstheme="minorHAnsi"/>
          <w:sz w:val="22"/>
          <w:szCs w:val="22"/>
        </w:rPr>
      </w:pPr>
      <w:r>
        <w:rPr>
          <w:rFonts w:asciiTheme="minorHAnsi" w:hAnsiTheme="minorHAnsi" w:cstheme="minorHAnsi"/>
          <w:sz w:val="22"/>
          <w:szCs w:val="22"/>
        </w:rPr>
        <w:t xml:space="preserve">The </w:t>
      </w:r>
      <w:r w:rsidR="00B066F0" w:rsidRPr="00B066F0">
        <w:rPr>
          <w:rFonts w:asciiTheme="minorHAnsi" w:hAnsiTheme="minorHAnsi" w:cstheme="minorHAnsi"/>
          <w:sz w:val="22"/>
          <w:szCs w:val="22"/>
        </w:rPr>
        <w:t>Chairperson</w:t>
      </w:r>
      <w:r>
        <w:rPr>
          <w:rFonts w:asciiTheme="minorHAnsi" w:hAnsiTheme="minorHAnsi" w:cstheme="minorHAnsi"/>
          <w:sz w:val="22"/>
          <w:szCs w:val="22"/>
        </w:rPr>
        <w:t xml:space="preserve"> reported that </w:t>
      </w:r>
      <w:r w:rsidR="00B066F0">
        <w:rPr>
          <w:rFonts w:asciiTheme="minorHAnsi" w:hAnsiTheme="minorHAnsi" w:cstheme="minorHAnsi"/>
          <w:sz w:val="22"/>
          <w:szCs w:val="22"/>
        </w:rPr>
        <w:t>C</w:t>
      </w:r>
      <w:r w:rsidR="00A445F7">
        <w:rPr>
          <w:rFonts w:asciiTheme="minorHAnsi" w:hAnsiTheme="minorHAnsi" w:cstheme="minorHAnsi"/>
          <w:sz w:val="22"/>
          <w:szCs w:val="22"/>
        </w:rPr>
        <w:t xml:space="preserve">ommittee </w:t>
      </w:r>
      <w:r>
        <w:rPr>
          <w:rFonts w:asciiTheme="minorHAnsi" w:hAnsiTheme="minorHAnsi" w:cstheme="minorHAnsi"/>
          <w:sz w:val="22"/>
          <w:szCs w:val="22"/>
        </w:rPr>
        <w:t xml:space="preserve">would </w:t>
      </w:r>
      <w:r w:rsidR="00A445F7">
        <w:rPr>
          <w:rFonts w:asciiTheme="minorHAnsi" w:hAnsiTheme="minorHAnsi" w:cstheme="minorHAnsi"/>
          <w:sz w:val="22"/>
          <w:szCs w:val="22"/>
        </w:rPr>
        <w:t>be reconvened as and when responses to proposed legislation</w:t>
      </w:r>
      <w:r w:rsidR="007242AF">
        <w:rPr>
          <w:rFonts w:asciiTheme="minorHAnsi" w:hAnsiTheme="minorHAnsi" w:cstheme="minorHAnsi"/>
          <w:sz w:val="22"/>
          <w:szCs w:val="22"/>
        </w:rPr>
        <w:t xml:space="preserve"> </w:t>
      </w:r>
      <w:r w:rsidR="00A445F7">
        <w:rPr>
          <w:rFonts w:asciiTheme="minorHAnsi" w:hAnsiTheme="minorHAnsi" w:cstheme="minorHAnsi"/>
          <w:sz w:val="22"/>
          <w:szCs w:val="22"/>
        </w:rPr>
        <w:t>are required within a short time frame.</w:t>
      </w:r>
      <w:r w:rsidR="00CB7729">
        <w:rPr>
          <w:rFonts w:asciiTheme="minorHAnsi" w:hAnsiTheme="minorHAnsi" w:cstheme="minorHAnsi"/>
          <w:sz w:val="22"/>
          <w:szCs w:val="22"/>
        </w:rPr>
        <w:t xml:space="preserve"> </w:t>
      </w:r>
    </w:p>
    <w:p w:rsidR="00A63282" w:rsidRDefault="00A63282" w:rsidP="007242AF">
      <w:pPr>
        <w:pStyle w:val="BodyTextIndent2"/>
        <w:numPr>
          <w:ilvl w:val="0"/>
          <w:numId w:val="2"/>
        </w:numPr>
        <w:pBdr>
          <w:top w:val="none" w:sz="0" w:space="0" w:color="auto"/>
          <w:left w:val="none" w:sz="0" w:space="0" w:color="auto"/>
          <w:bottom w:val="none" w:sz="0" w:space="0" w:color="auto"/>
          <w:right w:val="none" w:sz="0" w:space="0" w:color="auto"/>
        </w:pBdr>
        <w:tabs>
          <w:tab w:val="clear" w:pos="720"/>
        </w:tabs>
        <w:spacing w:after="240" w:line="259" w:lineRule="auto"/>
        <w:ind w:left="851" w:hanging="851"/>
        <w:rPr>
          <w:rFonts w:asciiTheme="minorHAnsi" w:hAnsiTheme="minorHAnsi" w:cstheme="minorHAnsi"/>
          <w:b/>
          <w:color w:val="222222"/>
          <w:sz w:val="22"/>
          <w:szCs w:val="22"/>
          <w:lang w:eastAsia="en-IE"/>
        </w:rPr>
      </w:pPr>
      <w:r w:rsidRPr="00A63282">
        <w:rPr>
          <w:rFonts w:asciiTheme="minorHAnsi" w:hAnsiTheme="minorHAnsi" w:cstheme="minorHAnsi"/>
          <w:b/>
          <w:color w:val="222222"/>
          <w:sz w:val="22"/>
          <w:szCs w:val="22"/>
          <w:lang w:eastAsia="en-IE"/>
        </w:rPr>
        <w:lastRenderedPageBreak/>
        <w:t>Practice updates</w:t>
      </w:r>
    </w:p>
    <w:p w:rsidR="0095797E" w:rsidRDefault="00CB7729" w:rsidP="005267FB">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Theme="minorHAnsi" w:hAnsiTheme="minorHAnsi" w:cstheme="minorHAnsi"/>
          <w:color w:val="222222"/>
          <w:sz w:val="22"/>
          <w:szCs w:val="22"/>
          <w:lang w:eastAsia="en-IE"/>
        </w:rPr>
      </w:pPr>
      <w:r w:rsidRPr="00CB7729">
        <w:rPr>
          <w:rFonts w:asciiTheme="minorHAnsi" w:hAnsiTheme="minorHAnsi" w:cstheme="minorHAnsi"/>
          <w:color w:val="222222"/>
          <w:sz w:val="22"/>
          <w:szCs w:val="22"/>
          <w:lang w:eastAsia="en-IE"/>
        </w:rPr>
        <w:t>There were no practice updates or issues arising in practice signalled for discussion.</w:t>
      </w:r>
    </w:p>
    <w:p w:rsidR="00CB7729" w:rsidRDefault="00A63282" w:rsidP="007242AF">
      <w:pPr>
        <w:pStyle w:val="text-18"/>
        <w:numPr>
          <w:ilvl w:val="0"/>
          <w:numId w:val="2"/>
        </w:numPr>
        <w:tabs>
          <w:tab w:val="clear" w:pos="720"/>
        </w:tabs>
        <w:spacing w:before="0" w:beforeAutospacing="0" w:after="240" w:afterAutospacing="0" w:line="259" w:lineRule="auto"/>
        <w:ind w:left="851" w:hanging="851"/>
        <w:rPr>
          <w:rFonts w:asciiTheme="minorHAnsi" w:hAnsiTheme="minorHAnsi" w:cstheme="minorHAnsi"/>
          <w:b/>
          <w:color w:val="222222"/>
          <w:sz w:val="22"/>
          <w:szCs w:val="22"/>
        </w:rPr>
      </w:pPr>
      <w:r w:rsidRPr="00A63282">
        <w:rPr>
          <w:rFonts w:asciiTheme="minorHAnsi" w:hAnsiTheme="minorHAnsi" w:cstheme="minorHAnsi"/>
          <w:b/>
          <w:sz w:val="22"/>
          <w:szCs w:val="22"/>
        </w:rPr>
        <w:t>Next meeting dat</w:t>
      </w:r>
      <w:r w:rsidR="00CB7729">
        <w:rPr>
          <w:rFonts w:asciiTheme="minorHAnsi" w:hAnsiTheme="minorHAnsi" w:cstheme="minorHAnsi"/>
          <w:b/>
          <w:sz w:val="22"/>
          <w:szCs w:val="22"/>
        </w:rPr>
        <w:t>e</w:t>
      </w:r>
    </w:p>
    <w:p w:rsidR="0095797E" w:rsidRDefault="00ED5EC5" w:rsidP="005267FB">
      <w:pPr>
        <w:pStyle w:val="text-18"/>
        <w:spacing w:before="0" w:beforeAutospacing="0" w:after="240" w:afterAutospacing="0" w:line="259" w:lineRule="auto"/>
        <w:ind w:left="851"/>
        <w:rPr>
          <w:rFonts w:asciiTheme="minorHAnsi" w:hAnsiTheme="minorHAnsi" w:cstheme="minorHAnsi"/>
          <w:color w:val="222222"/>
          <w:sz w:val="22"/>
          <w:szCs w:val="22"/>
        </w:rPr>
      </w:pPr>
      <w:r w:rsidRPr="00ED5EC5">
        <w:rPr>
          <w:rFonts w:asciiTheme="minorHAnsi" w:hAnsiTheme="minorHAnsi" w:cstheme="minorHAnsi"/>
          <w:color w:val="222222"/>
          <w:sz w:val="22"/>
          <w:szCs w:val="22"/>
        </w:rPr>
        <w:t>The Review Group will meet again in June to di</w:t>
      </w:r>
      <w:r w:rsidR="005267FB">
        <w:rPr>
          <w:rFonts w:asciiTheme="minorHAnsi" w:hAnsiTheme="minorHAnsi" w:cstheme="minorHAnsi"/>
          <w:color w:val="222222"/>
          <w:sz w:val="22"/>
          <w:szCs w:val="22"/>
        </w:rPr>
        <w:t xml:space="preserve">scuss its Work Programme 2020 </w:t>
      </w:r>
      <w:r w:rsidRPr="00ED5EC5">
        <w:rPr>
          <w:rFonts w:asciiTheme="minorHAnsi" w:hAnsiTheme="minorHAnsi" w:cstheme="minorHAnsi"/>
          <w:color w:val="222222"/>
          <w:sz w:val="22"/>
          <w:szCs w:val="22"/>
        </w:rPr>
        <w:t>2022.</w:t>
      </w:r>
    </w:p>
    <w:p w:rsidR="000B67E7" w:rsidRDefault="00A63282" w:rsidP="007242AF">
      <w:pPr>
        <w:pStyle w:val="BodyTextIndent2"/>
        <w:numPr>
          <w:ilvl w:val="0"/>
          <w:numId w:val="2"/>
        </w:numPr>
        <w:pBdr>
          <w:top w:val="none" w:sz="0" w:space="0" w:color="auto"/>
          <w:left w:val="none" w:sz="0" w:space="0" w:color="auto"/>
          <w:bottom w:val="none" w:sz="0" w:space="0" w:color="auto"/>
          <w:right w:val="none" w:sz="0" w:space="0" w:color="auto"/>
        </w:pBdr>
        <w:tabs>
          <w:tab w:val="clear" w:pos="720"/>
        </w:tabs>
        <w:spacing w:after="240" w:line="259" w:lineRule="auto"/>
        <w:ind w:left="851" w:hanging="851"/>
        <w:rPr>
          <w:rFonts w:asciiTheme="minorHAnsi" w:hAnsiTheme="minorHAnsi" w:cstheme="minorHAnsi"/>
          <w:b/>
          <w:sz w:val="22"/>
          <w:szCs w:val="22"/>
        </w:rPr>
      </w:pPr>
      <w:r w:rsidRPr="00A63282">
        <w:rPr>
          <w:rFonts w:asciiTheme="minorHAnsi" w:hAnsiTheme="minorHAnsi" w:cstheme="minorHAnsi"/>
          <w:b/>
          <w:sz w:val="22"/>
          <w:szCs w:val="22"/>
        </w:rPr>
        <w:t>AOB</w:t>
      </w:r>
    </w:p>
    <w:p w:rsidR="0095797E" w:rsidRDefault="00ED5EC5" w:rsidP="005267FB">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Theme="minorHAnsi" w:hAnsiTheme="minorHAnsi" w:cstheme="minorHAnsi"/>
          <w:sz w:val="22"/>
          <w:szCs w:val="22"/>
        </w:rPr>
      </w:pPr>
      <w:r w:rsidRPr="00ED5EC5">
        <w:rPr>
          <w:rFonts w:asciiTheme="minorHAnsi" w:hAnsiTheme="minorHAnsi" w:cstheme="minorHAnsi"/>
          <w:sz w:val="22"/>
          <w:szCs w:val="22"/>
        </w:rPr>
        <w:t>There were no matters signalled to the Secretariat.</w:t>
      </w:r>
    </w:p>
    <w:p w:rsidR="00ED5EC5" w:rsidRPr="00ED5EC5" w:rsidRDefault="00ED5EC5" w:rsidP="005267FB">
      <w:pPr>
        <w:pStyle w:val="BodyTextIndent2"/>
        <w:pBdr>
          <w:top w:val="none" w:sz="0" w:space="0" w:color="auto"/>
          <w:left w:val="none" w:sz="0" w:space="0" w:color="auto"/>
          <w:bottom w:val="none" w:sz="0" w:space="0" w:color="auto"/>
          <w:right w:val="none" w:sz="0" w:space="0" w:color="auto"/>
        </w:pBdr>
        <w:spacing w:after="240" w:line="259" w:lineRule="auto"/>
        <w:ind w:left="851" w:firstLine="0"/>
        <w:rPr>
          <w:rFonts w:asciiTheme="minorHAnsi" w:hAnsiTheme="minorHAnsi" w:cstheme="minorHAnsi"/>
          <w:sz w:val="22"/>
          <w:szCs w:val="22"/>
        </w:rPr>
      </w:pPr>
      <w:r w:rsidRPr="00ED5EC5">
        <w:rPr>
          <w:rFonts w:asciiTheme="minorHAnsi" w:hAnsiTheme="minorHAnsi" w:cstheme="minorHAnsi"/>
          <w:sz w:val="22"/>
          <w:szCs w:val="22"/>
        </w:rPr>
        <w:t>The meeting then ended.</w:t>
      </w:r>
    </w:p>
    <w:sectPr w:rsidR="00ED5EC5" w:rsidRPr="00ED5EC5" w:rsidSect="002A4D11">
      <w:footerReference w:type="even" r:id="rId12"/>
      <w:footerReference w:type="defaul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E9" w:rsidRDefault="001012E9" w:rsidP="002A4D11">
      <w:r>
        <w:separator/>
      </w:r>
    </w:p>
  </w:endnote>
  <w:endnote w:type="continuationSeparator" w:id="0">
    <w:p w:rsidR="001012E9" w:rsidRDefault="001012E9" w:rsidP="002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1B" w:rsidRDefault="007A1F1B">
    <w:pPr>
      <w:pStyle w:val="Footer"/>
    </w:pPr>
  </w:p>
  <w:p w:rsidR="007A1F1B" w:rsidRDefault="007B5F6A" w:rsidP="007A1F1B">
    <w:pPr>
      <w:pStyle w:val="Footer"/>
      <w:jc w:val="right"/>
    </w:pPr>
    <w:fldSimple w:instr=" DOCPROPERTY &quot;IWFooter&quot;  \* MERGEFORMAT ">
      <w:r w:rsidR="006161B0" w:rsidRPr="006161B0">
        <w:rPr>
          <w:sz w:val="16"/>
        </w:rPr>
        <w:t>MHC-22343231-1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1B0" w:rsidRDefault="00084546" w:rsidP="00084546">
    <w:pPr>
      <w:pStyle w:val="Footer"/>
    </w:pPr>
    <w:r>
      <w:tab/>
    </w:r>
    <w:r>
      <w:tab/>
    </w:r>
    <w:sdt>
      <w:sdtPr>
        <w:id w:val="9816700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7601">
          <w:rPr>
            <w:noProof/>
          </w:rPr>
          <w:t>6</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1B" w:rsidRDefault="007A1F1B">
    <w:pPr>
      <w:pStyle w:val="Footer"/>
    </w:pPr>
  </w:p>
  <w:p w:rsidR="007A1F1B" w:rsidRDefault="007B5F6A" w:rsidP="007A1F1B">
    <w:pPr>
      <w:pStyle w:val="Footer"/>
      <w:jc w:val="right"/>
    </w:pPr>
    <w:fldSimple w:instr=" DOCPROPERTY &quot;IWFooter&quot;  \* MERGEFORMAT ">
      <w:r w:rsidR="006161B0" w:rsidRPr="006161B0">
        <w:rPr>
          <w:sz w:val="16"/>
        </w:rPr>
        <w:t>MHC-22343231-1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E9" w:rsidRDefault="001012E9" w:rsidP="002A4D11">
      <w:r>
        <w:separator/>
      </w:r>
    </w:p>
  </w:footnote>
  <w:footnote w:type="continuationSeparator" w:id="0">
    <w:p w:rsidR="001012E9" w:rsidRDefault="001012E9" w:rsidP="002A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62B5"/>
    <w:multiLevelType w:val="hybridMultilevel"/>
    <w:tmpl w:val="274C0CA4"/>
    <w:lvl w:ilvl="0" w:tplc="6ED8F5B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C3C83"/>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10A92"/>
    <w:multiLevelType w:val="hybridMultilevel"/>
    <w:tmpl w:val="9072FA94"/>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F317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1F3687"/>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C49BE"/>
    <w:multiLevelType w:val="hybridMultilevel"/>
    <w:tmpl w:val="822C6B8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870E55"/>
    <w:multiLevelType w:val="hybridMultilevel"/>
    <w:tmpl w:val="BD14530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32895"/>
    <w:multiLevelType w:val="hybridMultilevel"/>
    <w:tmpl w:val="0FAEE3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6AB22B9"/>
    <w:multiLevelType w:val="hybridMultilevel"/>
    <w:tmpl w:val="A7D642F0"/>
    <w:lvl w:ilvl="0" w:tplc="7DD0104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0867CA"/>
    <w:multiLevelType w:val="hybridMultilevel"/>
    <w:tmpl w:val="273A374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D4E07"/>
    <w:multiLevelType w:val="hybridMultilevel"/>
    <w:tmpl w:val="8814E162"/>
    <w:lvl w:ilvl="0" w:tplc="EF60C0B6">
      <w:start w:val="1"/>
      <w:numFmt w:val="decimal"/>
      <w:lvlText w:val="%1."/>
      <w:lvlJc w:val="left"/>
      <w:pPr>
        <w:ind w:left="3240" w:hanging="36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1" w15:restartNumberingAfterBreak="0">
    <w:nsid w:val="3E5C147F"/>
    <w:multiLevelType w:val="hybridMultilevel"/>
    <w:tmpl w:val="0A666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FE3B03"/>
    <w:multiLevelType w:val="hybridMultilevel"/>
    <w:tmpl w:val="2976DD16"/>
    <w:lvl w:ilvl="0" w:tplc="B39E2BD0">
      <w:start w:val="3"/>
      <w:numFmt w:val="bullet"/>
      <w:lvlText w:val="-"/>
      <w:lvlJc w:val="left"/>
      <w:pPr>
        <w:ind w:left="4680" w:hanging="360"/>
      </w:pPr>
      <w:rPr>
        <w:rFonts w:ascii="Calibri" w:eastAsia="Calibri" w:hAnsi="Calibri" w:cs="Calibri" w:hint="default"/>
      </w:rPr>
    </w:lvl>
    <w:lvl w:ilvl="1" w:tplc="18090003" w:tentative="1">
      <w:start w:val="1"/>
      <w:numFmt w:val="bullet"/>
      <w:lvlText w:val="o"/>
      <w:lvlJc w:val="left"/>
      <w:pPr>
        <w:ind w:left="5400" w:hanging="360"/>
      </w:pPr>
      <w:rPr>
        <w:rFonts w:ascii="Courier New" w:hAnsi="Courier New" w:cs="Courier New" w:hint="default"/>
      </w:rPr>
    </w:lvl>
    <w:lvl w:ilvl="2" w:tplc="18090005" w:tentative="1">
      <w:start w:val="1"/>
      <w:numFmt w:val="bullet"/>
      <w:lvlText w:val=""/>
      <w:lvlJc w:val="left"/>
      <w:pPr>
        <w:ind w:left="6120" w:hanging="360"/>
      </w:pPr>
      <w:rPr>
        <w:rFonts w:ascii="Wingdings" w:hAnsi="Wingdings" w:hint="default"/>
      </w:rPr>
    </w:lvl>
    <w:lvl w:ilvl="3" w:tplc="18090001" w:tentative="1">
      <w:start w:val="1"/>
      <w:numFmt w:val="bullet"/>
      <w:lvlText w:val=""/>
      <w:lvlJc w:val="left"/>
      <w:pPr>
        <w:ind w:left="6840" w:hanging="360"/>
      </w:pPr>
      <w:rPr>
        <w:rFonts w:ascii="Symbol" w:hAnsi="Symbol" w:hint="default"/>
      </w:rPr>
    </w:lvl>
    <w:lvl w:ilvl="4" w:tplc="18090003" w:tentative="1">
      <w:start w:val="1"/>
      <w:numFmt w:val="bullet"/>
      <w:lvlText w:val="o"/>
      <w:lvlJc w:val="left"/>
      <w:pPr>
        <w:ind w:left="7560" w:hanging="360"/>
      </w:pPr>
      <w:rPr>
        <w:rFonts w:ascii="Courier New" w:hAnsi="Courier New" w:cs="Courier New" w:hint="default"/>
      </w:rPr>
    </w:lvl>
    <w:lvl w:ilvl="5" w:tplc="18090005" w:tentative="1">
      <w:start w:val="1"/>
      <w:numFmt w:val="bullet"/>
      <w:lvlText w:val=""/>
      <w:lvlJc w:val="left"/>
      <w:pPr>
        <w:ind w:left="8280" w:hanging="360"/>
      </w:pPr>
      <w:rPr>
        <w:rFonts w:ascii="Wingdings" w:hAnsi="Wingdings" w:hint="default"/>
      </w:rPr>
    </w:lvl>
    <w:lvl w:ilvl="6" w:tplc="18090001" w:tentative="1">
      <w:start w:val="1"/>
      <w:numFmt w:val="bullet"/>
      <w:lvlText w:val=""/>
      <w:lvlJc w:val="left"/>
      <w:pPr>
        <w:ind w:left="9000" w:hanging="360"/>
      </w:pPr>
      <w:rPr>
        <w:rFonts w:ascii="Symbol" w:hAnsi="Symbol" w:hint="default"/>
      </w:rPr>
    </w:lvl>
    <w:lvl w:ilvl="7" w:tplc="18090003" w:tentative="1">
      <w:start w:val="1"/>
      <w:numFmt w:val="bullet"/>
      <w:lvlText w:val="o"/>
      <w:lvlJc w:val="left"/>
      <w:pPr>
        <w:ind w:left="9720" w:hanging="360"/>
      </w:pPr>
      <w:rPr>
        <w:rFonts w:ascii="Courier New" w:hAnsi="Courier New" w:cs="Courier New" w:hint="default"/>
      </w:rPr>
    </w:lvl>
    <w:lvl w:ilvl="8" w:tplc="18090005" w:tentative="1">
      <w:start w:val="1"/>
      <w:numFmt w:val="bullet"/>
      <w:lvlText w:val=""/>
      <w:lvlJc w:val="left"/>
      <w:pPr>
        <w:ind w:left="10440" w:hanging="360"/>
      </w:pPr>
      <w:rPr>
        <w:rFonts w:ascii="Wingdings" w:hAnsi="Wingdings" w:hint="default"/>
      </w:rPr>
    </w:lvl>
  </w:abstractNum>
  <w:abstractNum w:abstractNumId="13" w15:restartNumberingAfterBreak="0">
    <w:nsid w:val="4C300062"/>
    <w:multiLevelType w:val="hybridMultilevel"/>
    <w:tmpl w:val="9AA65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641405"/>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EB96692"/>
    <w:multiLevelType w:val="hybridMultilevel"/>
    <w:tmpl w:val="BB265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6323F3"/>
    <w:multiLevelType w:val="hybridMultilevel"/>
    <w:tmpl w:val="7D7A19CC"/>
    <w:lvl w:ilvl="0" w:tplc="9D043200">
      <w:start w:val="1"/>
      <w:numFmt w:val="lowerLetter"/>
      <w:lvlText w:val="%1)"/>
      <w:lvlJc w:val="left"/>
      <w:pPr>
        <w:ind w:left="2520" w:hanging="360"/>
      </w:pPr>
      <w:rPr>
        <w:rFonts w:hint="default"/>
      </w:r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15:restartNumberingAfterBreak="0">
    <w:nsid w:val="526A7F99"/>
    <w:multiLevelType w:val="hybridMultilevel"/>
    <w:tmpl w:val="D59C70EC"/>
    <w:lvl w:ilvl="0" w:tplc="679A18B6">
      <w:start w:val="1"/>
      <w:numFmt w:val="decimal"/>
      <w:lvlText w:val="2.%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892284F"/>
    <w:multiLevelType w:val="hybridMultilevel"/>
    <w:tmpl w:val="57F6D1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96D7BEE"/>
    <w:multiLevelType w:val="hybridMultilevel"/>
    <w:tmpl w:val="32CC2E5C"/>
    <w:lvl w:ilvl="0" w:tplc="6FA8F6BC">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5E37319B"/>
    <w:multiLevelType w:val="hybridMultilevel"/>
    <w:tmpl w:val="F3280FC2"/>
    <w:lvl w:ilvl="0" w:tplc="FC34DCA0">
      <w:start w:val="1"/>
      <w:numFmt w:val="lowerLetter"/>
      <w:lvlText w:val="%1)"/>
      <w:lvlJc w:val="left"/>
      <w:pPr>
        <w:ind w:left="1800" w:hanging="360"/>
      </w:pPr>
      <w:rPr>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1" w15:restartNumberingAfterBreak="0">
    <w:nsid w:val="61110BA8"/>
    <w:multiLevelType w:val="hybridMultilevel"/>
    <w:tmpl w:val="7FB6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FE5A59"/>
    <w:multiLevelType w:val="hybridMultilevel"/>
    <w:tmpl w:val="5F1E98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70D9D"/>
    <w:multiLevelType w:val="hybridMultilevel"/>
    <w:tmpl w:val="EA044B50"/>
    <w:lvl w:ilvl="0" w:tplc="109A4E22">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6B416689"/>
    <w:multiLevelType w:val="hybridMultilevel"/>
    <w:tmpl w:val="9B36D4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BDC294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DCD2C31"/>
    <w:multiLevelType w:val="multilevel"/>
    <w:tmpl w:val="19B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532BB"/>
    <w:multiLevelType w:val="hybridMultilevel"/>
    <w:tmpl w:val="D7686310"/>
    <w:lvl w:ilvl="0" w:tplc="18090011">
      <w:start w:val="1"/>
      <w:numFmt w:val="decimal"/>
      <w:lvlText w:val="%1)"/>
      <w:lvlJc w:val="left"/>
      <w:pPr>
        <w:ind w:left="360" w:hanging="360"/>
      </w:p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start w:val="1"/>
      <w:numFmt w:val="decimal"/>
      <w:lvlText w:val="%4."/>
      <w:lvlJc w:val="left"/>
      <w:pPr>
        <w:ind w:left="4680" w:hanging="360"/>
      </w:pPr>
    </w:lvl>
    <w:lvl w:ilvl="4" w:tplc="18090019">
      <w:start w:val="1"/>
      <w:numFmt w:val="lowerLetter"/>
      <w:lvlText w:val="%5."/>
      <w:lvlJc w:val="left"/>
      <w:pPr>
        <w:ind w:left="5400" w:hanging="360"/>
      </w:pPr>
    </w:lvl>
    <w:lvl w:ilvl="5" w:tplc="1809001B">
      <w:start w:val="1"/>
      <w:numFmt w:val="lowerRoman"/>
      <w:lvlText w:val="%6."/>
      <w:lvlJc w:val="right"/>
      <w:pPr>
        <w:ind w:left="6120" w:hanging="180"/>
      </w:pPr>
    </w:lvl>
    <w:lvl w:ilvl="6" w:tplc="1809000F">
      <w:start w:val="1"/>
      <w:numFmt w:val="decimal"/>
      <w:lvlText w:val="%7."/>
      <w:lvlJc w:val="left"/>
      <w:pPr>
        <w:ind w:left="6840" w:hanging="360"/>
      </w:pPr>
    </w:lvl>
    <w:lvl w:ilvl="7" w:tplc="18090019">
      <w:start w:val="1"/>
      <w:numFmt w:val="lowerLetter"/>
      <w:lvlText w:val="%8."/>
      <w:lvlJc w:val="left"/>
      <w:pPr>
        <w:ind w:left="7560" w:hanging="360"/>
      </w:pPr>
    </w:lvl>
    <w:lvl w:ilvl="8" w:tplc="1809001B">
      <w:start w:val="1"/>
      <w:numFmt w:val="lowerRoman"/>
      <w:lvlText w:val="%9."/>
      <w:lvlJc w:val="right"/>
      <w:pPr>
        <w:ind w:left="8280" w:hanging="180"/>
      </w:pPr>
    </w:lvl>
  </w:abstractNum>
  <w:abstractNum w:abstractNumId="28" w15:restartNumberingAfterBreak="0">
    <w:nsid w:val="71AA4445"/>
    <w:multiLevelType w:val="hybridMultilevel"/>
    <w:tmpl w:val="843ECA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77570B2A"/>
    <w:multiLevelType w:val="hybridMultilevel"/>
    <w:tmpl w:val="314C93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EDB68BD"/>
    <w:multiLevelType w:val="hybridMultilevel"/>
    <w:tmpl w:val="C2FAAA46"/>
    <w:lvl w:ilvl="0" w:tplc="F04065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8"/>
  </w:num>
  <w:num w:numId="2">
    <w:abstractNumId w:val="24"/>
  </w:num>
  <w:num w:numId="3">
    <w:abstractNumId w:val="17"/>
  </w:num>
  <w:num w:numId="4">
    <w:abstractNumId w:val="0"/>
  </w:num>
  <w:num w:numId="5">
    <w:abstractNumId w:val="29"/>
  </w:num>
  <w:num w:numId="6">
    <w:abstractNumId w:val="7"/>
  </w:num>
  <w:num w:numId="7">
    <w:abstractNumId w:val="20"/>
  </w:num>
  <w:num w:numId="8">
    <w:abstractNumId w:val="14"/>
  </w:num>
  <w:num w:numId="9">
    <w:abstractNumId w:val="3"/>
  </w:num>
  <w:num w:numId="10">
    <w:abstractNumId w:val="25"/>
  </w:num>
  <w:num w:numId="11">
    <w:abstractNumId w:val="5"/>
  </w:num>
  <w:num w:numId="12">
    <w:abstractNumId w:val="22"/>
  </w:num>
  <w:num w:numId="13">
    <w:abstractNumId w:val="2"/>
  </w:num>
  <w:num w:numId="14">
    <w:abstractNumId w:val="27"/>
  </w:num>
  <w:num w:numId="15">
    <w:abstractNumId w:val="6"/>
  </w:num>
  <w:num w:numId="16">
    <w:abstractNumId w:val="9"/>
  </w:num>
  <w:num w:numId="17">
    <w:abstractNumId w:val="16"/>
  </w:num>
  <w:num w:numId="18">
    <w:abstractNumId w:val="30"/>
  </w:num>
  <w:num w:numId="19">
    <w:abstractNumId w:val="4"/>
  </w:num>
  <w:num w:numId="20">
    <w:abstractNumId w:val="28"/>
  </w:num>
  <w:num w:numId="21">
    <w:abstractNumId w:val="1"/>
  </w:num>
  <w:num w:numId="22">
    <w:abstractNumId w:val="13"/>
  </w:num>
  <w:num w:numId="23">
    <w:abstractNumId w:val="21"/>
  </w:num>
  <w:num w:numId="24">
    <w:abstractNumId w:val="18"/>
  </w:num>
  <w:num w:numId="25">
    <w:abstractNumId w:val="26"/>
  </w:num>
  <w:num w:numId="26">
    <w:abstractNumId w:val="15"/>
  </w:num>
  <w:num w:numId="27">
    <w:abstractNumId w:val="11"/>
  </w:num>
  <w:num w:numId="28">
    <w:abstractNumId w:val="23"/>
  </w:num>
  <w:num w:numId="29">
    <w:abstractNumId w:val="12"/>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8A"/>
    <w:rsid w:val="00011C53"/>
    <w:rsid w:val="00013FB5"/>
    <w:rsid w:val="00015FEF"/>
    <w:rsid w:val="0003314A"/>
    <w:rsid w:val="00033FCE"/>
    <w:rsid w:val="00035588"/>
    <w:rsid w:val="00035984"/>
    <w:rsid w:val="000447CA"/>
    <w:rsid w:val="00046C1A"/>
    <w:rsid w:val="00051276"/>
    <w:rsid w:val="00067ABD"/>
    <w:rsid w:val="00073331"/>
    <w:rsid w:val="00083ADA"/>
    <w:rsid w:val="00084546"/>
    <w:rsid w:val="00087009"/>
    <w:rsid w:val="0009526B"/>
    <w:rsid w:val="000A40EE"/>
    <w:rsid w:val="000A6C7D"/>
    <w:rsid w:val="000B3823"/>
    <w:rsid w:val="000B51FA"/>
    <w:rsid w:val="000B67E7"/>
    <w:rsid w:val="000D3C80"/>
    <w:rsid w:val="000D4C13"/>
    <w:rsid w:val="000D68BF"/>
    <w:rsid w:val="000E0A6B"/>
    <w:rsid w:val="000E13BA"/>
    <w:rsid w:val="000E2755"/>
    <w:rsid w:val="000F2033"/>
    <w:rsid w:val="000F785C"/>
    <w:rsid w:val="001012E9"/>
    <w:rsid w:val="0010638C"/>
    <w:rsid w:val="00120513"/>
    <w:rsid w:val="001230F1"/>
    <w:rsid w:val="00127468"/>
    <w:rsid w:val="001477B0"/>
    <w:rsid w:val="0015168F"/>
    <w:rsid w:val="0015501F"/>
    <w:rsid w:val="00165AE0"/>
    <w:rsid w:val="00166F6B"/>
    <w:rsid w:val="0017253C"/>
    <w:rsid w:val="00185F21"/>
    <w:rsid w:val="00192FFB"/>
    <w:rsid w:val="001B4A4A"/>
    <w:rsid w:val="001C6329"/>
    <w:rsid w:val="001E5064"/>
    <w:rsid w:val="001E6021"/>
    <w:rsid w:val="001E7D1A"/>
    <w:rsid w:val="002043AC"/>
    <w:rsid w:val="00222333"/>
    <w:rsid w:val="0022276D"/>
    <w:rsid w:val="00222CAE"/>
    <w:rsid w:val="0022589F"/>
    <w:rsid w:val="00235069"/>
    <w:rsid w:val="00237AFA"/>
    <w:rsid w:val="002402CC"/>
    <w:rsid w:val="002410D9"/>
    <w:rsid w:val="0025394E"/>
    <w:rsid w:val="002703A2"/>
    <w:rsid w:val="00275C00"/>
    <w:rsid w:val="002817A1"/>
    <w:rsid w:val="00292953"/>
    <w:rsid w:val="00296001"/>
    <w:rsid w:val="002A0F9C"/>
    <w:rsid w:val="002A2792"/>
    <w:rsid w:val="002A27A1"/>
    <w:rsid w:val="002A4D11"/>
    <w:rsid w:val="002A6904"/>
    <w:rsid w:val="002B724F"/>
    <w:rsid w:val="002C6DFA"/>
    <w:rsid w:val="002C77A7"/>
    <w:rsid w:val="002D0B2F"/>
    <w:rsid w:val="002D498A"/>
    <w:rsid w:val="002E2645"/>
    <w:rsid w:val="002E29E6"/>
    <w:rsid w:val="002E6A6A"/>
    <w:rsid w:val="002E797D"/>
    <w:rsid w:val="00311990"/>
    <w:rsid w:val="00313B06"/>
    <w:rsid w:val="00313BE1"/>
    <w:rsid w:val="00333699"/>
    <w:rsid w:val="0035006D"/>
    <w:rsid w:val="00351FFE"/>
    <w:rsid w:val="00356520"/>
    <w:rsid w:val="00357787"/>
    <w:rsid w:val="00374E2E"/>
    <w:rsid w:val="003A1370"/>
    <w:rsid w:val="003A3E53"/>
    <w:rsid w:val="003A60FB"/>
    <w:rsid w:val="003A6B3B"/>
    <w:rsid w:val="003A6BF8"/>
    <w:rsid w:val="003B0DCF"/>
    <w:rsid w:val="003B7108"/>
    <w:rsid w:val="003C0829"/>
    <w:rsid w:val="003C315D"/>
    <w:rsid w:val="003D0042"/>
    <w:rsid w:val="003D1A56"/>
    <w:rsid w:val="003E1F89"/>
    <w:rsid w:val="003F54A3"/>
    <w:rsid w:val="00400064"/>
    <w:rsid w:val="004025F5"/>
    <w:rsid w:val="00407F40"/>
    <w:rsid w:val="0042344F"/>
    <w:rsid w:val="00432C3E"/>
    <w:rsid w:val="00444BB8"/>
    <w:rsid w:val="004502A3"/>
    <w:rsid w:val="00454A55"/>
    <w:rsid w:val="00480103"/>
    <w:rsid w:val="0048342D"/>
    <w:rsid w:val="00492826"/>
    <w:rsid w:val="004971BD"/>
    <w:rsid w:val="004B62E3"/>
    <w:rsid w:val="004C7002"/>
    <w:rsid w:val="004D409E"/>
    <w:rsid w:val="004E25FF"/>
    <w:rsid w:val="004E3E12"/>
    <w:rsid w:val="004E3E89"/>
    <w:rsid w:val="004E66A8"/>
    <w:rsid w:val="004F11B4"/>
    <w:rsid w:val="004F5748"/>
    <w:rsid w:val="005267FB"/>
    <w:rsid w:val="005328A7"/>
    <w:rsid w:val="005374B1"/>
    <w:rsid w:val="00542638"/>
    <w:rsid w:val="005429ED"/>
    <w:rsid w:val="00554654"/>
    <w:rsid w:val="00567325"/>
    <w:rsid w:val="00571701"/>
    <w:rsid w:val="005841CD"/>
    <w:rsid w:val="00590123"/>
    <w:rsid w:val="00590AF6"/>
    <w:rsid w:val="005935E2"/>
    <w:rsid w:val="00594BDF"/>
    <w:rsid w:val="005A5CEB"/>
    <w:rsid w:val="005E2316"/>
    <w:rsid w:val="005E2A87"/>
    <w:rsid w:val="005E2D23"/>
    <w:rsid w:val="005F0297"/>
    <w:rsid w:val="006063B5"/>
    <w:rsid w:val="006076BD"/>
    <w:rsid w:val="00610B7C"/>
    <w:rsid w:val="006161B0"/>
    <w:rsid w:val="00627DED"/>
    <w:rsid w:val="00632F63"/>
    <w:rsid w:val="00634A79"/>
    <w:rsid w:val="00640A1E"/>
    <w:rsid w:val="00647775"/>
    <w:rsid w:val="00647C7B"/>
    <w:rsid w:val="00651BB8"/>
    <w:rsid w:val="00667424"/>
    <w:rsid w:val="00675A54"/>
    <w:rsid w:val="0068511C"/>
    <w:rsid w:val="006853C8"/>
    <w:rsid w:val="00690A4A"/>
    <w:rsid w:val="0069299C"/>
    <w:rsid w:val="00696B97"/>
    <w:rsid w:val="006A1FA7"/>
    <w:rsid w:val="006A4411"/>
    <w:rsid w:val="006A6CA8"/>
    <w:rsid w:val="006B3BEA"/>
    <w:rsid w:val="006B481C"/>
    <w:rsid w:val="006C3150"/>
    <w:rsid w:val="006C7A8E"/>
    <w:rsid w:val="006E1325"/>
    <w:rsid w:val="006E5413"/>
    <w:rsid w:val="006F7D78"/>
    <w:rsid w:val="006F7EF4"/>
    <w:rsid w:val="0070681D"/>
    <w:rsid w:val="0071175C"/>
    <w:rsid w:val="00717E57"/>
    <w:rsid w:val="007242AF"/>
    <w:rsid w:val="00724D39"/>
    <w:rsid w:val="00725C85"/>
    <w:rsid w:val="0073302C"/>
    <w:rsid w:val="007336A3"/>
    <w:rsid w:val="0073408A"/>
    <w:rsid w:val="00735A77"/>
    <w:rsid w:val="00740461"/>
    <w:rsid w:val="00742B90"/>
    <w:rsid w:val="007434A9"/>
    <w:rsid w:val="00744E6D"/>
    <w:rsid w:val="00745D9A"/>
    <w:rsid w:val="00761181"/>
    <w:rsid w:val="00776DBC"/>
    <w:rsid w:val="00787E05"/>
    <w:rsid w:val="007A1F1B"/>
    <w:rsid w:val="007B5F6A"/>
    <w:rsid w:val="007C3C22"/>
    <w:rsid w:val="007E2B03"/>
    <w:rsid w:val="007F3A02"/>
    <w:rsid w:val="008007CA"/>
    <w:rsid w:val="00812149"/>
    <w:rsid w:val="00813EEF"/>
    <w:rsid w:val="008176DE"/>
    <w:rsid w:val="00842164"/>
    <w:rsid w:val="00843F01"/>
    <w:rsid w:val="008473D1"/>
    <w:rsid w:val="00852FFE"/>
    <w:rsid w:val="00854D90"/>
    <w:rsid w:val="00856687"/>
    <w:rsid w:val="0085745B"/>
    <w:rsid w:val="00867B07"/>
    <w:rsid w:val="00867D33"/>
    <w:rsid w:val="00892D06"/>
    <w:rsid w:val="0089588D"/>
    <w:rsid w:val="008B0749"/>
    <w:rsid w:val="008D7E06"/>
    <w:rsid w:val="008E0CFA"/>
    <w:rsid w:val="008E165C"/>
    <w:rsid w:val="008E1C68"/>
    <w:rsid w:val="008F007F"/>
    <w:rsid w:val="00912E73"/>
    <w:rsid w:val="0094453F"/>
    <w:rsid w:val="00944A56"/>
    <w:rsid w:val="009476F0"/>
    <w:rsid w:val="0094785A"/>
    <w:rsid w:val="0095797E"/>
    <w:rsid w:val="0096711E"/>
    <w:rsid w:val="009708F9"/>
    <w:rsid w:val="009726F1"/>
    <w:rsid w:val="00973645"/>
    <w:rsid w:val="00990CBF"/>
    <w:rsid w:val="009A3128"/>
    <w:rsid w:val="009A7959"/>
    <w:rsid w:val="009B06DB"/>
    <w:rsid w:val="009C0323"/>
    <w:rsid w:val="009C13FF"/>
    <w:rsid w:val="009D7C7A"/>
    <w:rsid w:val="009E1295"/>
    <w:rsid w:val="009E14BC"/>
    <w:rsid w:val="009E3C98"/>
    <w:rsid w:val="009F76B2"/>
    <w:rsid w:val="00A03A91"/>
    <w:rsid w:val="00A108DF"/>
    <w:rsid w:val="00A1150F"/>
    <w:rsid w:val="00A26E68"/>
    <w:rsid w:val="00A35E38"/>
    <w:rsid w:val="00A420BB"/>
    <w:rsid w:val="00A445F7"/>
    <w:rsid w:val="00A47E61"/>
    <w:rsid w:val="00A500BB"/>
    <w:rsid w:val="00A518B0"/>
    <w:rsid w:val="00A52FB5"/>
    <w:rsid w:val="00A53A1F"/>
    <w:rsid w:val="00A619A4"/>
    <w:rsid w:val="00A63282"/>
    <w:rsid w:val="00A63321"/>
    <w:rsid w:val="00A6608A"/>
    <w:rsid w:val="00A72A1D"/>
    <w:rsid w:val="00A749B6"/>
    <w:rsid w:val="00A75586"/>
    <w:rsid w:val="00A765DC"/>
    <w:rsid w:val="00A85AF3"/>
    <w:rsid w:val="00A97DF2"/>
    <w:rsid w:val="00AB36AE"/>
    <w:rsid w:val="00AB38FB"/>
    <w:rsid w:val="00AB4A30"/>
    <w:rsid w:val="00AB59FA"/>
    <w:rsid w:val="00AC017E"/>
    <w:rsid w:val="00AC275F"/>
    <w:rsid w:val="00AD3D09"/>
    <w:rsid w:val="00AE0D45"/>
    <w:rsid w:val="00AE1645"/>
    <w:rsid w:val="00AF0134"/>
    <w:rsid w:val="00AF1475"/>
    <w:rsid w:val="00AF2445"/>
    <w:rsid w:val="00B02B10"/>
    <w:rsid w:val="00B066F0"/>
    <w:rsid w:val="00B1402F"/>
    <w:rsid w:val="00B2437C"/>
    <w:rsid w:val="00B25F4D"/>
    <w:rsid w:val="00B35CEF"/>
    <w:rsid w:val="00B5168B"/>
    <w:rsid w:val="00B52931"/>
    <w:rsid w:val="00B576EE"/>
    <w:rsid w:val="00B713EE"/>
    <w:rsid w:val="00B722C5"/>
    <w:rsid w:val="00B821D8"/>
    <w:rsid w:val="00B95014"/>
    <w:rsid w:val="00B9589B"/>
    <w:rsid w:val="00B97178"/>
    <w:rsid w:val="00BB453E"/>
    <w:rsid w:val="00BB5BD8"/>
    <w:rsid w:val="00BC35D1"/>
    <w:rsid w:val="00BD100C"/>
    <w:rsid w:val="00BE50D7"/>
    <w:rsid w:val="00BF268A"/>
    <w:rsid w:val="00BF3A1D"/>
    <w:rsid w:val="00BF4EDF"/>
    <w:rsid w:val="00BF53E2"/>
    <w:rsid w:val="00C0792B"/>
    <w:rsid w:val="00C23DE5"/>
    <w:rsid w:val="00C3361F"/>
    <w:rsid w:val="00C33AFD"/>
    <w:rsid w:val="00C46F28"/>
    <w:rsid w:val="00C54454"/>
    <w:rsid w:val="00C5536E"/>
    <w:rsid w:val="00C66BDE"/>
    <w:rsid w:val="00C7478D"/>
    <w:rsid w:val="00C77762"/>
    <w:rsid w:val="00CA6DFC"/>
    <w:rsid w:val="00CB076E"/>
    <w:rsid w:val="00CB6D0B"/>
    <w:rsid w:val="00CB7729"/>
    <w:rsid w:val="00CC4BB0"/>
    <w:rsid w:val="00CE3036"/>
    <w:rsid w:val="00CE56C0"/>
    <w:rsid w:val="00CE61D7"/>
    <w:rsid w:val="00CE7C38"/>
    <w:rsid w:val="00D02A20"/>
    <w:rsid w:val="00D360A5"/>
    <w:rsid w:val="00D54DFB"/>
    <w:rsid w:val="00D6712A"/>
    <w:rsid w:val="00D83378"/>
    <w:rsid w:val="00D97CA1"/>
    <w:rsid w:val="00DA0602"/>
    <w:rsid w:val="00DD3BC6"/>
    <w:rsid w:val="00DD7018"/>
    <w:rsid w:val="00DE3FA0"/>
    <w:rsid w:val="00E00505"/>
    <w:rsid w:val="00E01ADD"/>
    <w:rsid w:val="00E0364F"/>
    <w:rsid w:val="00E079DE"/>
    <w:rsid w:val="00E15479"/>
    <w:rsid w:val="00E16D8B"/>
    <w:rsid w:val="00E32254"/>
    <w:rsid w:val="00E35016"/>
    <w:rsid w:val="00E41DBF"/>
    <w:rsid w:val="00E47D8A"/>
    <w:rsid w:val="00E53510"/>
    <w:rsid w:val="00E61341"/>
    <w:rsid w:val="00E73DBD"/>
    <w:rsid w:val="00E8147E"/>
    <w:rsid w:val="00E90A84"/>
    <w:rsid w:val="00EB3DAA"/>
    <w:rsid w:val="00EB7C11"/>
    <w:rsid w:val="00ED5EC5"/>
    <w:rsid w:val="00EE0323"/>
    <w:rsid w:val="00EE2566"/>
    <w:rsid w:val="00EE68AA"/>
    <w:rsid w:val="00EF4871"/>
    <w:rsid w:val="00F04B60"/>
    <w:rsid w:val="00F05482"/>
    <w:rsid w:val="00F17557"/>
    <w:rsid w:val="00F20159"/>
    <w:rsid w:val="00F30DEE"/>
    <w:rsid w:val="00F3751D"/>
    <w:rsid w:val="00F37601"/>
    <w:rsid w:val="00F45266"/>
    <w:rsid w:val="00F54C96"/>
    <w:rsid w:val="00F64E38"/>
    <w:rsid w:val="00F74B85"/>
    <w:rsid w:val="00F91B29"/>
    <w:rsid w:val="00F95268"/>
    <w:rsid w:val="00F979BE"/>
    <w:rsid w:val="00FD5D04"/>
    <w:rsid w:val="00FF2648"/>
    <w:rsid w:val="00FF2E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36F38A77-7CDF-4ABC-9CDD-F66CC99F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link w:val="BodyTextIndent2Char"/>
    <w:semiHidden/>
    <w:pPr>
      <w:pBdr>
        <w:top w:val="single" w:sz="4" w:space="1" w:color="auto" w:shadow="1"/>
        <w:left w:val="single" w:sz="4" w:space="4" w:color="auto" w:shadow="1"/>
        <w:bottom w:val="single" w:sz="4" w:space="1" w:color="auto" w:shadow="1"/>
        <w:right w:val="single" w:sz="4" w:space="4" w:color="auto" w:shadow="1"/>
      </w:pBdr>
      <w:ind w:left="360" w:hanging="360"/>
    </w:pPr>
  </w:style>
  <w:style w:type="paragraph" w:styleId="BalloonText">
    <w:name w:val="Balloon Text"/>
    <w:basedOn w:val="Normal"/>
    <w:link w:val="BalloonTextChar"/>
    <w:uiPriority w:val="99"/>
    <w:semiHidden/>
    <w:unhideWhenUsed/>
    <w:rsid w:val="00627DED"/>
    <w:rPr>
      <w:rFonts w:ascii="Tahoma" w:hAnsi="Tahoma" w:cs="Tahoma"/>
      <w:sz w:val="16"/>
      <w:szCs w:val="16"/>
    </w:rPr>
  </w:style>
  <w:style w:type="character" w:customStyle="1" w:styleId="BalloonTextChar">
    <w:name w:val="Balloon Text Char"/>
    <w:link w:val="BalloonText"/>
    <w:uiPriority w:val="99"/>
    <w:semiHidden/>
    <w:rsid w:val="00627DED"/>
    <w:rPr>
      <w:rFonts w:ascii="Tahoma" w:hAnsi="Tahoma" w:cs="Tahoma"/>
      <w:sz w:val="16"/>
      <w:szCs w:val="16"/>
      <w:lang w:eastAsia="en-US"/>
    </w:rPr>
  </w:style>
  <w:style w:type="paragraph" w:styleId="ListParagraph">
    <w:name w:val="List Paragraph"/>
    <w:basedOn w:val="Normal"/>
    <w:uiPriority w:val="34"/>
    <w:qFormat/>
    <w:rsid w:val="005F029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4D11"/>
    <w:pPr>
      <w:tabs>
        <w:tab w:val="center" w:pos="4513"/>
        <w:tab w:val="right" w:pos="9026"/>
      </w:tabs>
    </w:pPr>
  </w:style>
  <w:style w:type="character" w:customStyle="1" w:styleId="HeaderChar">
    <w:name w:val="Header Char"/>
    <w:link w:val="Header"/>
    <w:uiPriority w:val="99"/>
    <w:rsid w:val="002A4D11"/>
    <w:rPr>
      <w:sz w:val="24"/>
      <w:szCs w:val="24"/>
      <w:lang w:eastAsia="en-US"/>
    </w:rPr>
  </w:style>
  <w:style w:type="paragraph" w:styleId="Footer">
    <w:name w:val="footer"/>
    <w:basedOn w:val="Normal"/>
    <w:link w:val="FooterChar"/>
    <w:uiPriority w:val="99"/>
    <w:unhideWhenUsed/>
    <w:rsid w:val="002A4D11"/>
    <w:pPr>
      <w:tabs>
        <w:tab w:val="center" w:pos="4513"/>
        <w:tab w:val="right" w:pos="9026"/>
      </w:tabs>
    </w:pPr>
  </w:style>
  <w:style w:type="character" w:customStyle="1" w:styleId="FooterChar">
    <w:name w:val="Footer Char"/>
    <w:link w:val="Footer"/>
    <w:uiPriority w:val="99"/>
    <w:rsid w:val="002A4D11"/>
    <w:rPr>
      <w:sz w:val="24"/>
      <w:szCs w:val="24"/>
      <w:lang w:eastAsia="en-US"/>
    </w:rPr>
  </w:style>
  <w:style w:type="table" w:styleId="TableGrid">
    <w:name w:val="Table Grid"/>
    <w:basedOn w:val="TableNormal"/>
    <w:uiPriority w:val="59"/>
    <w:rsid w:val="002A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semiHidden/>
    <w:rsid w:val="00035588"/>
    <w:rPr>
      <w:sz w:val="24"/>
      <w:szCs w:val="24"/>
      <w:lang w:eastAsia="en-US"/>
    </w:rPr>
  </w:style>
  <w:style w:type="character" w:styleId="Hyperlink">
    <w:name w:val="Hyperlink"/>
    <w:basedOn w:val="DefaultParagraphFont"/>
    <w:uiPriority w:val="99"/>
    <w:unhideWhenUsed/>
    <w:rsid w:val="004502A3"/>
    <w:rPr>
      <w:color w:val="0000FF" w:themeColor="hyperlink"/>
      <w:u w:val="single"/>
    </w:rPr>
  </w:style>
  <w:style w:type="paragraph" w:styleId="NormalWeb">
    <w:name w:val="Normal (Web)"/>
    <w:basedOn w:val="Normal"/>
    <w:uiPriority w:val="99"/>
    <w:semiHidden/>
    <w:unhideWhenUsed/>
    <w:rsid w:val="003C315D"/>
    <w:pPr>
      <w:spacing w:before="100" w:beforeAutospacing="1" w:after="100" w:afterAutospacing="1"/>
    </w:pPr>
    <w:rPr>
      <w:lang w:eastAsia="en-IE"/>
    </w:rPr>
  </w:style>
  <w:style w:type="character" w:styleId="Strong">
    <w:name w:val="Strong"/>
    <w:basedOn w:val="DefaultParagraphFont"/>
    <w:uiPriority w:val="22"/>
    <w:qFormat/>
    <w:rsid w:val="003C315D"/>
    <w:rPr>
      <w:b/>
      <w:bCs/>
    </w:rPr>
  </w:style>
  <w:style w:type="character" w:styleId="Emphasis">
    <w:name w:val="Emphasis"/>
    <w:basedOn w:val="DefaultParagraphFont"/>
    <w:uiPriority w:val="20"/>
    <w:qFormat/>
    <w:rsid w:val="003C315D"/>
    <w:rPr>
      <w:i/>
      <w:iCs/>
    </w:rPr>
  </w:style>
  <w:style w:type="paragraph" w:customStyle="1" w:styleId="text-18">
    <w:name w:val="text-18"/>
    <w:basedOn w:val="Normal"/>
    <w:rsid w:val="006E5413"/>
    <w:pPr>
      <w:spacing w:before="100" w:beforeAutospacing="1" w:after="100" w:afterAutospacing="1"/>
    </w:pPr>
    <w:rPr>
      <w:lang w:eastAsia="en-IE"/>
    </w:rPr>
  </w:style>
  <w:style w:type="character" w:customStyle="1" w:styleId="UnresolvedMention1">
    <w:name w:val="Unresolved Mention1"/>
    <w:basedOn w:val="DefaultParagraphFont"/>
    <w:uiPriority w:val="99"/>
    <w:semiHidden/>
    <w:unhideWhenUsed/>
    <w:rsid w:val="008E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046">
      <w:bodyDiv w:val="1"/>
      <w:marLeft w:val="0"/>
      <w:marRight w:val="0"/>
      <w:marTop w:val="0"/>
      <w:marBottom w:val="0"/>
      <w:divBdr>
        <w:top w:val="none" w:sz="0" w:space="0" w:color="auto"/>
        <w:left w:val="none" w:sz="0" w:space="0" w:color="auto"/>
        <w:bottom w:val="none" w:sz="0" w:space="0" w:color="auto"/>
        <w:right w:val="none" w:sz="0" w:space="0" w:color="auto"/>
      </w:divBdr>
    </w:div>
    <w:div w:id="139075939">
      <w:bodyDiv w:val="1"/>
      <w:marLeft w:val="0"/>
      <w:marRight w:val="0"/>
      <w:marTop w:val="0"/>
      <w:marBottom w:val="0"/>
      <w:divBdr>
        <w:top w:val="none" w:sz="0" w:space="0" w:color="auto"/>
        <w:left w:val="none" w:sz="0" w:space="0" w:color="auto"/>
        <w:bottom w:val="none" w:sz="0" w:space="0" w:color="auto"/>
        <w:right w:val="none" w:sz="0" w:space="0" w:color="auto"/>
      </w:divBdr>
    </w:div>
    <w:div w:id="269626015">
      <w:bodyDiv w:val="1"/>
      <w:marLeft w:val="0"/>
      <w:marRight w:val="0"/>
      <w:marTop w:val="0"/>
      <w:marBottom w:val="0"/>
      <w:divBdr>
        <w:top w:val="none" w:sz="0" w:space="0" w:color="auto"/>
        <w:left w:val="none" w:sz="0" w:space="0" w:color="auto"/>
        <w:bottom w:val="none" w:sz="0" w:space="0" w:color="auto"/>
        <w:right w:val="none" w:sz="0" w:space="0" w:color="auto"/>
      </w:divBdr>
    </w:div>
    <w:div w:id="311913911">
      <w:bodyDiv w:val="1"/>
      <w:marLeft w:val="0"/>
      <w:marRight w:val="0"/>
      <w:marTop w:val="0"/>
      <w:marBottom w:val="0"/>
      <w:divBdr>
        <w:top w:val="none" w:sz="0" w:space="0" w:color="auto"/>
        <w:left w:val="none" w:sz="0" w:space="0" w:color="auto"/>
        <w:bottom w:val="none" w:sz="0" w:space="0" w:color="auto"/>
        <w:right w:val="none" w:sz="0" w:space="0" w:color="auto"/>
      </w:divBdr>
    </w:div>
    <w:div w:id="414523380">
      <w:bodyDiv w:val="1"/>
      <w:marLeft w:val="0"/>
      <w:marRight w:val="0"/>
      <w:marTop w:val="0"/>
      <w:marBottom w:val="0"/>
      <w:divBdr>
        <w:top w:val="none" w:sz="0" w:space="0" w:color="auto"/>
        <w:left w:val="none" w:sz="0" w:space="0" w:color="auto"/>
        <w:bottom w:val="none" w:sz="0" w:space="0" w:color="auto"/>
        <w:right w:val="none" w:sz="0" w:space="0" w:color="auto"/>
      </w:divBdr>
    </w:div>
    <w:div w:id="429858999">
      <w:bodyDiv w:val="1"/>
      <w:marLeft w:val="0"/>
      <w:marRight w:val="0"/>
      <w:marTop w:val="0"/>
      <w:marBottom w:val="0"/>
      <w:divBdr>
        <w:top w:val="none" w:sz="0" w:space="0" w:color="auto"/>
        <w:left w:val="none" w:sz="0" w:space="0" w:color="auto"/>
        <w:bottom w:val="none" w:sz="0" w:space="0" w:color="auto"/>
        <w:right w:val="none" w:sz="0" w:space="0" w:color="auto"/>
      </w:divBdr>
    </w:div>
    <w:div w:id="431049040">
      <w:bodyDiv w:val="1"/>
      <w:marLeft w:val="0"/>
      <w:marRight w:val="0"/>
      <w:marTop w:val="0"/>
      <w:marBottom w:val="0"/>
      <w:divBdr>
        <w:top w:val="none" w:sz="0" w:space="0" w:color="auto"/>
        <w:left w:val="none" w:sz="0" w:space="0" w:color="auto"/>
        <w:bottom w:val="none" w:sz="0" w:space="0" w:color="auto"/>
        <w:right w:val="none" w:sz="0" w:space="0" w:color="auto"/>
      </w:divBdr>
    </w:div>
    <w:div w:id="591862209">
      <w:bodyDiv w:val="1"/>
      <w:marLeft w:val="0"/>
      <w:marRight w:val="0"/>
      <w:marTop w:val="0"/>
      <w:marBottom w:val="0"/>
      <w:divBdr>
        <w:top w:val="none" w:sz="0" w:space="0" w:color="auto"/>
        <w:left w:val="none" w:sz="0" w:space="0" w:color="auto"/>
        <w:bottom w:val="none" w:sz="0" w:space="0" w:color="auto"/>
        <w:right w:val="none" w:sz="0" w:space="0" w:color="auto"/>
      </w:divBdr>
    </w:div>
    <w:div w:id="716317691">
      <w:bodyDiv w:val="1"/>
      <w:marLeft w:val="0"/>
      <w:marRight w:val="0"/>
      <w:marTop w:val="0"/>
      <w:marBottom w:val="0"/>
      <w:divBdr>
        <w:top w:val="none" w:sz="0" w:space="0" w:color="auto"/>
        <w:left w:val="none" w:sz="0" w:space="0" w:color="auto"/>
        <w:bottom w:val="none" w:sz="0" w:space="0" w:color="auto"/>
        <w:right w:val="none" w:sz="0" w:space="0" w:color="auto"/>
      </w:divBdr>
      <w:divsChild>
        <w:div w:id="925070916">
          <w:marLeft w:val="0"/>
          <w:marRight w:val="0"/>
          <w:marTop w:val="0"/>
          <w:marBottom w:val="0"/>
          <w:divBdr>
            <w:top w:val="none" w:sz="0" w:space="0" w:color="auto"/>
            <w:left w:val="none" w:sz="0" w:space="0" w:color="auto"/>
            <w:bottom w:val="none" w:sz="0" w:space="0" w:color="auto"/>
            <w:right w:val="none" w:sz="0" w:space="0" w:color="auto"/>
          </w:divBdr>
          <w:divsChild>
            <w:div w:id="1045716429">
              <w:marLeft w:val="0"/>
              <w:marRight w:val="0"/>
              <w:marTop w:val="0"/>
              <w:marBottom w:val="150"/>
              <w:divBdr>
                <w:top w:val="none" w:sz="0" w:space="0" w:color="auto"/>
                <w:left w:val="none" w:sz="0" w:space="0" w:color="auto"/>
                <w:bottom w:val="none" w:sz="0" w:space="0" w:color="auto"/>
                <w:right w:val="none" w:sz="0" w:space="0" w:color="auto"/>
              </w:divBdr>
              <w:divsChild>
                <w:div w:id="523372269">
                  <w:marLeft w:val="0"/>
                  <w:marRight w:val="0"/>
                  <w:marTop w:val="0"/>
                  <w:marBottom w:val="0"/>
                  <w:divBdr>
                    <w:top w:val="none" w:sz="0" w:space="0" w:color="auto"/>
                    <w:left w:val="none" w:sz="0" w:space="0" w:color="auto"/>
                    <w:bottom w:val="none" w:sz="0" w:space="0" w:color="auto"/>
                    <w:right w:val="none" w:sz="0" w:space="0" w:color="auto"/>
                  </w:divBdr>
                  <w:divsChild>
                    <w:div w:id="1084303604">
                      <w:marLeft w:val="0"/>
                      <w:marRight w:val="0"/>
                      <w:marTop w:val="0"/>
                      <w:marBottom w:val="0"/>
                      <w:divBdr>
                        <w:top w:val="none" w:sz="0" w:space="0" w:color="auto"/>
                        <w:left w:val="none" w:sz="0" w:space="0" w:color="auto"/>
                        <w:bottom w:val="none" w:sz="0" w:space="0" w:color="auto"/>
                        <w:right w:val="none" w:sz="0" w:space="0" w:color="auto"/>
                      </w:divBdr>
                      <w:divsChild>
                        <w:div w:id="658116030">
                          <w:marLeft w:val="0"/>
                          <w:marRight w:val="0"/>
                          <w:marTop w:val="0"/>
                          <w:marBottom w:val="0"/>
                          <w:divBdr>
                            <w:top w:val="none" w:sz="0" w:space="0" w:color="auto"/>
                            <w:left w:val="none" w:sz="0" w:space="0" w:color="auto"/>
                            <w:bottom w:val="none" w:sz="0" w:space="0" w:color="auto"/>
                            <w:right w:val="none" w:sz="0" w:space="0" w:color="auto"/>
                          </w:divBdr>
                          <w:divsChild>
                            <w:div w:id="1007561292">
                              <w:marLeft w:val="0"/>
                              <w:marRight w:val="0"/>
                              <w:marTop w:val="0"/>
                              <w:marBottom w:val="0"/>
                              <w:divBdr>
                                <w:top w:val="none" w:sz="0" w:space="0" w:color="auto"/>
                                <w:left w:val="none" w:sz="0" w:space="0" w:color="auto"/>
                                <w:bottom w:val="none" w:sz="0" w:space="0" w:color="auto"/>
                                <w:right w:val="none" w:sz="0" w:space="0" w:color="auto"/>
                              </w:divBdr>
                              <w:divsChild>
                                <w:div w:id="1869639329">
                                  <w:marLeft w:val="0"/>
                                  <w:marRight w:val="-3600"/>
                                  <w:marTop w:val="150"/>
                                  <w:marBottom w:val="0"/>
                                  <w:divBdr>
                                    <w:top w:val="none" w:sz="0" w:space="0" w:color="auto"/>
                                    <w:left w:val="none" w:sz="0" w:space="0" w:color="auto"/>
                                    <w:bottom w:val="none" w:sz="0" w:space="0" w:color="auto"/>
                                    <w:right w:val="none" w:sz="0" w:space="0" w:color="auto"/>
                                  </w:divBdr>
                                  <w:divsChild>
                                    <w:div w:id="613252374">
                                      <w:marLeft w:val="0"/>
                                      <w:marRight w:val="3600"/>
                                      <w:marTop w:val="0"/>
                                      <w:marBottom w:val="0"/>
                                      <w:divBdr>
                                        <w:top w:val="none" w:sz="0" w:space="0" w:color="auto"/>
                                        <w:left w:val="none" w:sz="0" w:space="0" w:color="auto"/>
                                        <w:bottom w:val="none" w:sz="0" w:space="0" w:color="auto"/>
                                        <w:right w:val="none" w:sz="0" w:space="0" w:color="auto"/>
                                      </w:divBdr>
                                      <w:divsChild>
                                        <w:div w:id="1217857834">
                                          <w:marLeft w:val="0"/>
                                          <w:marRight w:val="0"/>
                                          <w:marTop w:val="0"/>
                                          <w:marBottom w:val="0"/>
                                          <w:divBdr>
                                            <w:top w:val="none" w:sz="0" w:space="0" w:color="auto"/>
                                            <w:left w:val="none" w:sz="0" w:space="0" w:color="auto"/>
                                            <w:bottom w:val="none" w:sz="0" w:space="0" w:color="auto"/>
                                            <w:right w:val="none" w:sz="0" w:space="0" w:color="auto"/>
                                          </w:divBdr>
                                          <w:divsChild>
                                            <w:div w:id="160825733">
                                              <w:marLeft w:val="0"/>
                                              <w:marRight w:val="0"/>
                                              <w:marTop w:val="0"/>
                                              <w:marBottom w:val="0"/>
                                              <w:divBdr>
                                                <w:top w:val="none" w:sz="0" w:space="0" w:color="auto"/>
                                                <w:left w:val="none" w:sz="0" w:space="0" w:color="auto"/>
                                                <w:bottom w:val="none" w:sz="0" w:space="0" w:color="auto"/>
                                                <w:right w:val="none" w:sz="0" w:space="0" w:color="auto"/>
                                              </w:divBdr>
                                              <w:divsChild>
                                                <w:div w:id="1639066857">
                                                  <w:marLeft w:val="0"/>
                                                  <w:marRight w:val="0"/>
                                                  <w:marTop w:val="0"/>
                                                  <w:marBottom w:val="0"/>
                                                  <w:divBdr>
                                                    <w:top w:val="none" w:sz="0" w:space="0" w:color="auto"/>
                                                    <w:left w:val="none" w:sz="0" w:space="0" w:color="auto"/>
                                                    <w:bottom w:val="none" w:sz="0" w:space="0" w:color="auto"/>
                                                    <w:right w:val="none" w:sz="0" w:space="0" w:color="auto"/>
                                                  </w:divBdr>
                                                  <w:divsChild>
                                                    <w:div w:id="1185023356">
                                                      <w:marLeft w:val="0"/>
                                                      <w:marRight w:val="0"/>
                                                      <w:marTop w:val="0"/>
                                                      <w:marBottom w:val="0"/>
                                                      <w:divBdr>
                                                        <w:top w:val="none" w:sz="0" w:space="0" w:color="auto"/>
                                                        <w:left w:val="none" w:sz="0" w:space="0" w:color="auto"/>
                                                        <w:bottom w:val="none" w:sz="0" w:space="0" w:color="auto"/>
                                                        <w:right w:val="none" w:sz="0" w:space="0" w:color="auto"/>
                                                      </w:divBdr>
                                                      <w:divsChild>
                                                        <w:div w:id="225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216199">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94065883">
      <w:bodyDiv w:val="1"/>
      <w:marLeft w:val="0"/>
      <w:marRight w:val="0"/>
      <w:marTop w:val="0"/>
      <w:marBottom w:val="0"/>
      <w:divBdr>
        <w:top w:val="none" w:sz="0" w:space="0" w:color="auto"/>
        <w:left w:val="none" w:sz="0" w:space="0" w:color="auto"/>
        <w:bottom w:val="none" w:sz="0" w:space="0" w:color="auto"/>
        <w:right w:val="none" w:sz="0" w:space="0" w:color="auto"/>
      </w:divBdr>
    </w:div>
    <w:div w:id="1288898998">
      <w:bodyDiv w:val="1"/>
      <w:marLeft w:val="0"/>
      <w:marRight w:val="0"/>
      <w:marTop w:val="0"/>
      <w:marBottom w:val="0"/>
      <w:divBdr>
        <w:top w:val="none" w:sz="0" w:space="0" w:color="auto"/>
        <w:left w:val="none" w:sz="0" w:space="0" w:color="auto"/>
        <w:bottom w:val="none" w:sz="0" w:space="0" w:color="auto"/>
        <w:right w:val="none" w:sz="0" w:space="0" w:color="auto"/>
      </w:divBdr>
    </w:div>
    <w:div w:id="1289629956">
      <w:bodyDiv w:val="1"/>
      <w:marLeft w:val="0"/>
      <w:marRight w:val="0"/>
      <w:marTop w:val="0"/>
      <w:marBottom w:val="0"/>
      <w:divBdr>
        <w:top w:val="none" w:sz="0" w:space="0" w:color="auto"/>
        <w:left w:val="none" w:sz="0" w:space="0" w:color="auto"/>
        <w:bottom w:val="none" w:sz="0" w:space="0" w:color="auto"/>
        <w:right w:val="none" w:sz="0" w:space="0" w:color="auto"/>
      </w:divBdr>
    </w:div>
    <w:div w:id="1401826888">
      <w:bodyDiv w:val="1"/>
      <w:marLeft w:val="0"/>
      <w:marRight w:val="0"/>
      <w:marTop w:val="0"/>
      <w:marBottom w:val="0"/>
      <w:divBdr>
        <w:top w:val="none" w:sz="0" w:space="0" w:color="auto"/>
        <w:left w:val="none" w:sz="0" w:space="0" w:color="auto"/>
        <w:bottom w:val="none" w:sz="0" w:space="0" w:color="auto"/>
        <w:right w:val="none" w:sz="0" w:space="0" w:color="auto"/>
      </w:divBdr>
    </w:div>
    <w:div w:id="1497569790">
      <w:bodyDiv w:val="1"/>
      <w:marLeft w:val="0"/>
      <w:marRight w:val="0"/>
      <w:marTop w:val="0"/>
      <w:marBottom w:val="0"/>
      <w:divBdr>
        <w:top w:val="none" w:sz="0" w:space="0" w:color="auto"/>
        <w:left w:val="none" w:sz="0" w:space="0" w:color="auto"/>
        <w:bottom w:val="none" w:sz="0" w:space="0" w:color="auto"/>
        <w:right w:val="none" w:sz="0" w:space="0" w:color="auto"/>
      </w:divBdr>
    </w:div>
    <w:div w:id="1682274143">
      <w:bodyDiv w:val="1"/>
      <w:marLeft w:val="0"/>
      <w:marRight w:val="0"/>
      <w:marTop w:val="0"/>
      <w:marBottom w:val="0"/>
      <w:divBdr>
        <w:top w:val="none" w:sz="0" w:space="0" w:color="auto"/>
        <w:left w:val="none" w:sz="0" w:space="0" w:color="auto"/>
        <w:bottom w:val="none" w:sz="0" w:space="0" w:color="auto"/>
        <w:right w:val="none" w:sz="0" w:space="0" w:color="auto"/>
      </w:divBdr>
    </w:div>
    <w:div w:id="1840147078">
      <w:bodyDiv w:val="1"/>
      <w:marLeft w:val="0"/>
      <w:marRight w:val="0"/>
      <w:marTop w:val="0"/>
      <w:marBottom w:val="0"/>
      <w:divBdr>
        <w:top w:val="none" w:sz="0" w:space="0" w:color="auto"/>
        <w:left w:val="none" w:sz="0" w:space="0" w:color="auto"/>
        <w:bottom w:val="none" w:sz="0" w:space="0" w:color="auto"/>
        <w:right w:val="none" w:sz="0" w:space="0" w:color="auto"/>
      </w:divBdr>
    </w:div>
    <w:div w:id="1885679991">
      <w:bodyDiv w:val="1"/>
      <w:marLeft w:val="0"/>
      <w:marRight w:val="0"/>
      <w:marTop w:val="0"/>
      <w:marBottom w:val="0"/>
      <w:divBdr>
        <w:top w:val="none" w:sz="0" w:space="0" w:color="auto"/>
        <w:left w:val="none" w:sz="0" w:space="0" w:color="auto"/>
        <w:bottom w:val="none" w:sz="0" w:space="0" w:color="auto"/>
        <w:right w:val="none" w:sz="0" w:space="0" w:color="auto"/>
      </w:divBdr>
    </w:div>
    <w:div w:id="1967928440">
      <w:bodyDiv w:val="1"/>
      <w:marLeft w:val="0"/>
      <w:marRight w:val="0"/>
      <w:marTop w:val="0"/>
      <w:marBottom w:val="0"/>
      <w:divBdr>
        <w:top w:val="none" w:sz="0" w:space="0" w:color="auto"/>
        <w:left w:val="none" w:sz="0" w:space="0" w:color="auto"/>
        <w:bottom w:val="none" w:sz="0" w:space="0" w:color="auto"/>
        <w:right w:val="none" w:sz="0" w:space="0" w:color="auto"/>
      </w:divBdr>
    </w:div>
    <w:div w:id="2006937688">
      <w:bodyDiv w:val="1"/>
      <w:marLeft w:val="0"/>
      <w:marRight w:val="0"/>
      <w:marTop w:val="0"/>
      <w:marBottom w:val="0"/>
      <w:divBdr>
        <w:top w:val="none" w:sz="0" w:space="0" w:color="auto"/>
        <w:left w:val="none" w:sz="0" w:space="0" w:color="auto"/>
        <w:bottom w:val="none" w:sz="0" w:space="0" w:color="auto"/>
        <w:right w:val="none" w:sz="0" w:space="0" w:color="auto"/>
      </w:divBdr>
    </w:div>
    <w:div w:id="2108889570">
      <w:bodyDiv w:val="1"/>
      <w:marLeft w:val="0"/>
      <w:marRight w:val="0"/>
      <w:marTop w:val="0"/>
      <w:marBottom w:val="0"/>
      <w:divBdr>
        <w:top w:val="none" w:sz="0" w:space="0" w:color="auto"/>
        <w:left w:val="none" w:sz="0" w:space="0" w:color="auto"/>
        <w:bottom w:val="none" w:sz="0" w:space="0" w:color="auto"/>
        <w:right w:val="none" w:sz="0" w:space="0" w:color="auto"/>
      </w:divBdr>
    </w:div>
    <w:div w:id="21377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rg@dbei.gov.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rg@dbei.gov.ie" TargetMode="External"/><Relationship Id="rId4" Type="http://schemas.openxmlformats.org/officeDocument/2006/relationships/settings" Target="settings.xml"/><Relationship Id="rId9" Type="http://schemas.openxmlformats.org/officeDocument/2006/relationships/hyperlink" Target="https://dbei.gov.ie/en/Consultations/Public-Consultation-on-Directive-EU-2019-1023.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C879-41E2-4BFE-8A95-F553A4C4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1597</Words>
  <Characters>9103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Agenda for the 55th Plenary Meeting of the CLRG</vt:lpstr>
    </vt:vector>
  </TitlesOfParts>
  <Company>Department of Enterprise, Trade and Employment</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55th Plenary Meeting of the CLRG</dc:title>
  <dc:subject/>
  <dc:creator>Department of Enterprise, Trade and Employment</dc:creator>
  <cp:keywords/>
  <dc:description/>
  <cp:lastModifiedBy>Tara Keane</cp:lastModifiedBy>
  <cp:revision>2</cp:revision>
  <cp:lastPrinted>2020-02-27T13:04:00Z</cp:lastPrinted>
  <dcterms:created xsi:type="dcterms:W3CDTF">2020-11-05T14:05:00Z</dcterms:created>
  <dcterms:modified xsi:type="dcterms:W3CDTF">2020-11-05T14:05:00Z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-1234940601</vt:i4>
  </property>
  <property fmtid="{D5CDD505-2E9C-101B-9397-08002B2CF9AE}" pid="3" name="iManTInitials">
    <vt:lpwstr>PE</vt:lpwstr>
  </property>
  <property fmtid="{D5CDD505-2E9C-101B-9397-08002B2CF9AE}" pid="4" name="iManOInitials">
    <vt:lpwstr>PE</vt:lpwstr>
  </property>
  <property fmtid="{D5CDD505-2E9C-101B-9397-08002B2CF9AE}" pid="5" name="IWFooter">
    <vt:lpwstr>MHC-22343231-1</vt:lpwstr>
  </property>
  <property fmtid="{D5CDD505-2E9C-101B-9397-08002B2CF9AE}" pid="6" name="IWOwner">
    <vt:lpwstr>PEGAN</vt:lpwstr>
  </property>
  <property fmtid="{D5CDD505-2E9C-101B-9397-08002B2CF9AE}" pid="7" name="IWOwnerName">
    <vt:lpwstr>Paul Egan</vt:lpwstr>
  </property>
  <property fmtid="{D5CDD505-2E9C-101B-9397-08002B2CF9AE}" pid="8" name="IWClientNum">
    <vt:lpwstr>0</vt:lpwstr>
  </property>
  <property fmtid="{D5CDD505-2E9C-101B-9397-08002B2CF9AE}" pid="9" name="IWClientName">
    <vt:lpwstr>0</vt:lpwstr>
  </property>
  <property fmtid="{D5CDD505-2E9C-101B-9397-08002B2CF9AE}" pid="10" name="IWMatterNum">
    <vt:lpwstr>0</vt:lpwstr>
  </property>
  <property fmtid="{D5CDD505-2E9C-101B-9397-08002B2CF9AE}" pid="11" name="IWMatterDesc">
    <vt:lpwstr>0</vt:lpwstr>
  </property>
  <property fmtid="{D5CDD505-2E9C-101B-9397-08002B2CF9AE}" pid="12" name="IWOurRef">
    <vt:lpwstr>PE</vt:lpwstr>
  </property>
  <property fmtid="{D5CDD505-2E9C-101B-9397-08002B2CF9AE}" pid="13" name="IWClientMatter">
    <vt:lpwstr>/</vt:lpwstr>
  </property>
</Properties>
</file>