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4FC1" w14:textId="61A0E896" w:rsidR="000220EE" w:rsidRDefault="00B51C3E">
      <w:r>
        <w:rPr>
          <w:noProof/>
          <w:lang w:eastAsia="en-IE"/>
        </w:rPr>
        <w:drawing>
          <wp:anchor distT="0" distB="0" distL="114300" distR="114300" simplePos="0" relativeHeight="251659264" behindDoc="0" locked="0" layoutInCell="1" allowOverlap="1" wp14:anchorId="6656EDF4" wp14:editId="1BEEE1EC">
            <wp:simplePos x="0" y="0"/>
            <wp:positionH relativeFrom="column">
              <wp:posOffset>-466725</wp:posOffset>
            </wp:positionH>
            <wp:positionV relativeFrom="paragraph">
              <wp:posOffset>66675</wp:posOffset>
            </wp:positionV>
            <wp:extent cx="1562100" cy="1057275"/>
            <wp:effectExtent l="0" t="0" r="0" b="0"/>
            <wp:wrapSquare wrapText="bothSides"/>
            <wp:docPr id="3" name="Picture 3" descr="CLRG logo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RG logo whi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1057275"/>
                    </a:xfrm>
                    <a:prstGeom prst="rect">
                      <a:avLst/>
                    </a:prstGeom>
                    <a:noFill/>
                  </pic:spPr>
                </pic:pic>
              </a:graphicData>
            </a:graphic>
            <wp14:sizeRelH relativeFrom="page">
              <wp14:pctWidth>0</wp14:pctWidth>
            </wp14:sizeRelH>
            <wp14:sizeRelV relativeFrom="page">
              <wp14:pctHeight>0</wp14:pctHeight>
            </wp14:sizeRelV>
          </wp:anchor>
        </w:drawing>
      </w:r>
      <w:r>
        <w:tab/>
      </w:r>
    </w:p>
    <w:p w14:paraId="7507B2E2" w14:textId="436673A0" w:rsidR="00B51C3E" w:rsidRDefault="00B51C3E"/>
    <w:p w14:paraId="4C6E8DC7" w14:textId="5FA7C355" w:rsidR="00B51C3E" w:rsidRDefault="00B51C3E">
      <w:r>
        <w:rPr>
          <w:rFonts w:ascii="Calibri" w:hAnsi="Calibri"/>
          <w:b/>
          <w:bCs/>
          <w:sz w:val="28"/>
          <w:szCs w:val="28"/>
        </w:rPr>
        <w:t>97</w:t>
      </w:r>
      <w:r w:rsidRPr="00552887">
        <w:rPr>
          <w:rFonts w:ascii="Calibri" w:hAnsi="Calibri"/>
          <w:b/>
          <w:bCs/>
          <w:sz w:val="28"/>
          <w:szCs w:val="28"/>
          <w:vertAlign w:val="superscript"/>
        </w:rPr>
        <w:t>th</w:t>
      </w:r>
      <w:r>
        <w:rPr>
          <w:rFonts w:ascii="Calibri" w:hAnsi="Calibri"/>
          <w:b/>
          <w:bCs/>
          <w:sz w:val="28"/>
          <w:szCs w:val="28"/>
        </w:rPr>
        <w:t xml:space="preserve"> </w:t>
      </w:r>
      <w:r w:rsidRPr="00F91B29">
        <w:rPr>
          <w:rFonts w:ascii="Calibri" w:hAnsi="Calibri"/>
          <w:b/>
          <w:bCs/>
          <w:sz w:val="28"/>
          <w:szCs w:val="28"/>
        </w:rPr>
        <w:t>Plenary Meeting of the Company Law Review Group</w:t>
      </w:r>
    </w:p>
    <w:p w14:paraId="21F4C70E" w14:textId="468516BD" w:rsidR="00B51C3E" w:rsidRDefault="00B51C3E"/>
    <w:p w14:paraId="7AC62267" w14:textId="1E22D024" w:rsidR="00B51C3E" w:rsidRDefault="00B51C3E"/>
    <w:tbl>
      <w:tblPr>
        <w:tblpPr w:leftFromText="180" w:rightFromText="180" w:vertAnchor="text" w:horzAnchor="margin" w:tblpXSpec="center" w:tblpY="-32"/>
        <w:tblW w:w="0" w:type="auto"/>
        <w:tblLook w:val="04A0" w:firstRow="1" w:lastRow="0" w:firstColumn="1" w:lastColumn="0" w:noHBand="0" w:noVBand="1"/>
      </w:tblPr>
      <w:tblGrid>
        <w:gridCol w:w="1560"/>
        <w:gridCol w:w="5636"/>
      </w:tblGrid>
      <w:tr w:rsidR="00B51C3E" w:rsidRPr="00F91B29" w14:paraId="1E230703" w14:textId="77777777" w:rsidTr="00B51C3E">
        <w:trPr>
          <w:trHeight w:val="709"/>
        </w:trPr>
        <w:tc>
          <w:tcPr>
            <w:tcW w:w="1560" w:type="dxa"/>
            <w:shd w:val="clear" w:color="auto" w:fill="auto"/>
          </w:tcPr>
          <w:p w14:paraId="75060FD2" w14:textId="77777777" w:rsidR="00B51C3E" w:rsidRPr="00F91B29" w:rsidRDefault="00B51C3E" w:rsidP="00B51C3E">
            <w:pPr>
              <w:spacing w:after="120"/>
              <w:jc w:val="both"/>
              <w:rPr>
                <w:rFonts w:ascii="Calibri" w:hAnsi="Calibri"/>
              </w:rPr>
            </w:pPr>
            <w:r w:rsidRPr="00F91B29">
              <w:rPr>
                <w:rFonts w:ascii="Calibri" w:hAnsi="Calibri"/>
                <w:b/>
                <w:bCs/>
              </w:rPr>
              <w:t>Date:</w:t>
            </w:r>
          </w:p>
        </w:tc>
        <w:tc>
          <w:tcPr>
            <w:tcW w:w="5636" w:type="dxa"/>
            <w:shd w:val="clear" w:color="auto" w:fill="auto"/>
          </w:tcPr>
          <w:p w14:paraId="0499DF95" w14:textId="77777777" w:rsidR="00B51C3E" w:rsidRPr="00F91B29" w:rsidRDefault="00B51C3E" w:rsidP="00B51C3E">
            <w:pPr>
              <w:spacing w:after="120"/>
              <w:jc w:val="both"/>
              <w:rPr>
                <w:rFonts w:ascii="Calibri" w:hAnsi="Calibri"/>
              </w:rPr>
            </w:pPr>
            <w:r>
              <w:rPr>
                <w:rFonts w:ascii="Calibri" w:hAnsi="Calibri"/>
              </w:rPr>
              <w:t>Thursday 26 May 2022</w:t>
            </w:r>
          </w:p>
        </w:tc>
      </w:tr>
      <w:tr w:rsidR="00B51C3E" w:rsidRPr="00F91B29" w14:paraId="30977EE5" w14:textId="77777777" w:rsidTr="00B51C3E">
        <w:trPr>
          <w:trHeight w:val="698"/>
        </w:trPr>
        <w:tc>
          <w:tcPr>
            <w:tcW w:w="1560" w:type="dxa"/>
            <w:shd w:val="clear" w:color="auto" w:fill="auto"/>
          </w:tcPr>
          <w:p w14:paraId="40D0B430" w14:textId="77777777" w:rsidR="00B51C3E" w:rsidRPr="00F91B29" w:rsidRDefault="00B51C3E" w:rsidP="00B51C3E">
            <w:pPr>
              <w:spacing w:after="120"/>
              <w:jc w:val="both"/>
              <w:rPr>
                <w:rFonts w:ascii="Calibri" w:hAnsi="Calibri"/>
              </w:rPr>
            </w:pPr>
            <w:r w:rsidRPr="0092283C">
              <w:rPr>
                <w:rFonts w:ascii="Calibri" w:hAnsi="Calibri"/>
              </w:rPr>
              <w:t>Time</w:t>
            </w:r>
            <w:r w:rsidRPr="00F91B29">
              <w:rPr>
                <w:rFonts w:ascii="Calibri" w:hAnsi="Calibri"/>
                <w:b/>
                <w:bCs/>
              </w:rPr>
              <w:t>:</w:t>
            </w:r>
          </w:p>
        </w:tc>
        <w:tc>
          <w:tcPr>
            <w:tcW w:w="5636" w:type="dxa"/>
            <w:shd w:val="clear" w:color="auto" w:fill="auto"/>
          </w:tcPr>
          <w:p w14:paraId="219D74D3" w14:textId="0F7E8B43" w:rsidR="00B51C3E" w:rsidRPr="00F91B29" w:rsidRDefault="00B51C3E" w:rsidP="00B51C3E">
            <w:pPr>
              <w:spacing w:after="120"/>
              <w:jc w:val="both"/>
              <w:rPr>
                <w:rFonts w:ascii="Calibri" w:hAnsi="Calibri"/>
              </w:rPr>
            </w:pPr>
            <w:r>
              <w:rPr>
                <w:rFonts w:ascii="Calibri" w:hAnsi="Calibri"/>
              </w:rPr>
              <w:t>10:00 a.m. to 11:30 a.m.</w:t>
            </w:r>
          </w:p>
        </w:tc>
      </w:tr>
      <w:tr w:rsidR="00B51C3E" w:rsidRPr="00F91B29" w14:paraId="30A574E3" w14:textId="77777777" w:rsidTr="00B51C3E">
        <w:tc>
          <w:tcPr>
            <w:tcW w:w="1560" w:type="dxa"/>
            <w:shd w:val="clear" w:color="auto" w:fill="auto"/>
          </w:tcPr>
          <w:p w14:paraId="3EEBF288" w14:textId="77777777" w:rsidR="00B51C3E" w:rsidRPr="00F91B29" w:rsidRDefault="00B51C3E" w:rsidP="00B51C3E">
            <w:pPr>
              <w:spacing w:after="120"/>
              <w:jc w:val="both"/>
              <w:rPr>
                <w:rFonts w:ascii="Calibri" w:hAnsi="Calibri"/>
              </w:rPr>
            </w:pPr>
            <w:r w:rsidRPr="00F91B29">
              <w:rPr>
                <w:rFonts w:ascii="Calibri" w:hAnsi="Calibri"/>
                <w:b/>
                <w:bCs/>
                <w:lang w:val="en-GB"/>
              </w:rPr>
              <w:t>Venue:</w:t>
            </w:r>
          </w:p>
        </w:tc>
        <w:tc>
          <w:tcPr>
            <w:tcW w:w="5636" w:type="dxa"/>
            <w:shd w:val="clear" w:color="auto" w:fill="auto"/>
          </w:tcPr>
          <w:p w14:paraId="7CC40EFD" w14:textId="77777777" w:rsidR="00B51C3E" w:rsidRDefault="00B51C3E" w:rsidP="00B51C3E">
            <w:pPr>
              <w:spacing w:after="120"/>
              <w:jc w:val="both"/>
              <w:rPr>
                <w:rFonts w:ascii="Calibri" w:hAnsi="Calibri"/>
              </w:rPr>
            </w:pPr>
            <w:r>
              <w:rPr>
                <w:rFonts w:ascii="Calibri" w:hAnsi="Calibri"/>
              </w:rPr>
              <w:t>By MS Teams meeting participation software</w:t>
            </w:r>
          </w:p>
          <w:p w14:paraId="087FF9F9" w14:textId="77777777" w:rsidR="00B51C3E" w:rsidRPr="00F91B29" w:rsidRDefault="00B51C3E" w:rsidP="00B51C3E">
            <w:pPr>
              <w:spacing w:after="120"/>
              <w:jc w:val="both"/>
              <w:rPr>
                <w:rFonts w:ascii="Calibri" w:hAnsi="Calibri"/>
              </w:rPr>
            </w:pPr>
          </w:p>
        </w:tc>
      </w:tr>
      <w:tr w:rsidR="00B51C3E" w:rsidRPr="00F91B29" w14:paraId="0286C4E6" w14:textId="77777777" w:rsidTr="00B51C3E">
        <w:tc>
          <w:tcPr>
            <w:tcW w:w="1560" w:type="dxa"/>
            <w:shd w:val="clear" w:color="auto" w:fill="auto"/>
          </w:tcPr>
          <w:p w14:paraId="5682017B" w14:textId="77777777" w:rsidR="00B51C3E" w:rsidRPr="00F91B29" w:rsidRDefault="00B51C3E" w:rsidP="00B51C3E">
            <w:pPr>
              <w:spacing w:after="120"/>
              <w:jc w:val="both"/>
              <w:rPr>
                <w:rFonts w:ascii="Calibri" w:hAnsi="Calibri"/>
                <w:b/>
                <w:bCs/>
                <w:lang w:val="en-GB"/>
              </w:rPr>
            </w:pPr>
            <w:r>
              <w:rPr>
                <w:rFonts w:ascii="Calibri" w:hAnsi="Calibri"/>
                <w:b/>
                <w:bCs/>
                <w:lang w:val="en-GB"/>
              </w:rPr>
              <w:t>Present:</w:t>
            </w:r>
          </w:p>
        </w:tc>
        <w:tc>
          <w:tcPr>
            <w:tcW w:w="5636" w:type="dxa"/>
            <w:shd w:val="clear" w:color="auto" w:fill="auto"/>
          </w:tcPr>
          <w:p w14:paraId="547F9D6E" w14:textId="1EC45EC7" w:rsidR="00B51C3E" w:rsidRDefault="00B51C3E" w:rsidP="00B51C3E">
            <w:pPr>
              <w:spacing w:after="120"/>
              <w:jc w:val="both"/>
              <w:rPr>
                <w:rFonts w:ascii="Calibri" w:hAnsi="Calibri"/>
              </w:rPr>
            </w:pPr>
            <w:r w:rsidRPr="0092283C">
              <w:rPr>
                <w:rFonts w:ascii="Calibri" w:hAnsi="Calibri"/>
              </w:rPr>
              <w:t xml:space="preserve">Paul Egan (Chair), Alan Carey, Barry Conway, Máire Cunningham, Marie Daly, Emma Doherty, Bernice Evoy, James Finn, Michael Halpenny, Tanya Holly, Irene Lynch Fannon, Vincent Madigan, Kathryn Maybury, David Mc Fadden, Salvador Nash, </w:t>
            </w:r>
            <w:r w:rsidR="00CE0A35">
              <w:rPr>
                <w:rFonts w:ascii="Calibri" w:hAnsi="Calibri"/>
              </w:rPr>
              <w:t xml:space="preserve">Fiona O’Dea, </w:t>
            </w:r>
            <w:r w:rsidRPr="0092283C">
              <w:rPr>
                <w:rFonts w:ascii="Calibri" w:hAnsi="Calibri"/>
              </w:rPr>
              <w:t>Maureen O’Sullivan, Gillian O’Shaughnessy, Eadaoin Rock, Doug Smith</w:t>
            </w:r>
          </w:p>
          <w:p w14:paraId="3EC76552" w14:textId="77777777" w:rsidR="00B51C3E" w:rsidRDefault="00B51C3E" w:rsidP="00B51C3E">
            <w:pPr>
              <w:spacing w:after="240"/>
              <w:jc w:val="both"/>
              <w:rPr>
                <w:rFonts w:ascii="Calibri" w:hAnsi="Calibri"/>
              </w:rPr>
            </w:pPr>
            <w:r w:rsidRPr="00DF3F60">
              <w:rPr>
                <w:rFonts w:ascii="Calibri" w:hAnsi="Calibri"/>
              </w:rPr>
              <w:t>Therese Moore</w:t>
            </w:r>
          </w:p>
        </w:tc>
      </w:tr>
      <w:tr w:rsidR="00B51C3E" w:rsidRPr="00F91B29" w14:paraId="00161DFA" w14:textId="77777777" w:rsidTr="00B51C3E">
        <w:tc>
          <w:tcPr>
            <w:tcW w:w="1560" w:type="dxa"/>
            <w:shd w:val="clear" w:color="auto" w:fill="auto"/>
          </w:tcPr>
          <w:p w14:paraId="073C5153" w14:textId="77777777" w:rsidR="00B51C3E" w:rsidRPr="00F91B29" w:rsidRDefault="00B51C3E" w:rsidP="00B51C3E">
            <w:pPr>
              <w:spacing w:after="120"/>
              <w:jc w:val="both"/>
              <w:rPr>
                <w:rFonts w:ascii="Calibri" w:hAnsi="Calibri"/>
                <w:b/>
                <w:bCs/>
                <w:lang w:val="en-GB"/>
              </w:rPr>
            </w:pPr>
            <w:r>
              <w:rPr>
                <w:rFonts w:ascii="Calibri" w:hAnsi="Calibri"/>
                <w:b/>
                <w:bCs/>
                <w:lang w:val="en-GB"/>
              </w:rPr>
              <w:t>In attendance:</w:t>
            </w:r>
          </w:p>
        </w:tc>
        <w:tc>
          <w:tcPr>
            <w:tcW w:w="5636" w:type="dxa"/>
            <w:shd w:val="clear" w:color="auto" w:fill="auto"/>
          </w:tcPr>
          <w:p w14:paraId="30087F40" w14:textId="77777777" w:rsidR="00B51C3E" w:rsidRDefault="00B51C3E" w:rsidP="00B51C3E">
            <w:pPr>
              <w:spacing w:after="0"/>
              <w:jc w:val="both"/>
              <w:rPr>
                <w:rFonts w:ascii="Calibri" w:hAnsi="Calibri"/>
              </w:rPr>
            </w:pPr>
            <w:r>
              <w:rPr>
                <w:rFonts w:ascii="Calibri" w:hAnsi="Calibri"/>
              </w:rPr>
              <w:t xml:space="preserve">Deirdre Morgan </w:t>
            </w:r>
            <w:r w:rsidRPr="0092283C">
              <w:rPr>
                <w:rFonts w:ascii="Calibri" w:hAnsi="Calibri"/>
                <w:b/>
                <w:bCs/>
              </w:rPr>
              <w:t>(Secretariat)</w:t>
            </w:r>
          </w:p>
          <w:p w14:paraId="51067728" w14:textId="77777777" w:rsidR="00B51C3E" w:rsidRDefault="00B51C3E" w:rsidP="00B51C3E">
            <w:pPr>
              <w:spacing w:after="240"/>
              <w:jc w:val="both"/>
              <w:rPr>
                <w:rFonts w:ascii="Calibri" w:hAnsi="Calibri"/>
              </w:rPr>
            </w:pPr>
            <w:r w:rsidRPr="0092283C">
              <w:rPr>
                <w:rFonts w:ascii="Calibri" w:hAnsi="Calibri"/>
              </w:rPr>
              <w:t xml:space="preserve">David Allen, B.L, Matthew Brady B.L </w:t>
            </w:r>
            <w:r w:rsidRPr="0092283C">
              <w:rPr>
                <w:rFonts w:ascii="Calibri" w:hAnsi="Calibri"/>
                <w:b/>
                <w:bCs/>
              </w:rPr>
              <w:t>(Legal Researchers)</w:t>
            </w:r>
          </w:p>
        </w:tc>
      </w:tr>
      <w:tr w:rsidR="00B51C3E" w:rsidRPr="00F91B29" w14:paraId="4ADC6BCE" w14:textId="77777777" w:rsidTr="00B51C3E">
        <w:tc>
          <w:tcPr>
            <w:tcW w:w="1560" w:type="dxa"/>
            <w:shd w:val="clear" w:color="auto" w:fill="auto"/>
          </w:tcPr>
          <w:p w14:paraId="6B88B2EB" w14:textId="77777777" w:rsidR="00B51C3E" w:rsidRPr="00F91B29" w:rsidRDefault="00B51C3E" w:rsidP="00B51C3E">
            <w:pPr>
              <w:spacing w:after="120"/>
              <w:jc w:val="both"/>
              <w:rPr>
                <w:rFonts w:ascii="Calibri" w:hAnsi="Calibri"/>
                <w:b/>
                <w:bCs/>
                <w:lang w:val="en-GB"/>
              </w:rPr>
            </w:pPr>
            <w:r>
              <w:rPr>
                <w:rFonts w:ascii="Calibri" w:hAnsi="Calibri"/>
                <w:b/>
                <w:bCs/>
                <w:lang w:val="en-GB"/>
              </w:rPr>
              <w:t>Apologies:</w:t>
            </w:r>
          </w:p>
        </w:tc>
        <w:tc>
          <w:tcPr>
            <w:tcW w:w="5636" w:type="dxa"/>
            <w:shd w:val="clear" w:color="auto" w:fill="auto"/>
          </w:tcPr>
          <w:p w14:paraId="7644DCED" w14:textId="77777777" w:rsidR="00B51C3E" w:rsidRDefault="00B51C3E" w:rsidP="00B51C3E">
            <w:pPr>
              <w:spacing w:after="120"/>
              <w:jc w:val="both"/>
              <w:rPr>
                <w:rFonts w:ascii="Calibri" w:hAnsi="Calibri"/>
              </w:rPr>
            </w:pPr>
            <w:r w:rsidRPr="0092283C">
              <w:rPr>
                <w:rFonts w:ascii="Calibri" w:hAnsi="Calibri"/>
              </w:rPr>
              <w:t>Richard Curran, Ian Drennan, David Hegarty, Kevin Prendergast, Maura Quinn, Rosemary Hickey, Neil McDonnell,</w:t>
            </w:r>
            <w:r>
              <w:rPr>
                <w:rFonts w:ascii="Calibri" w:hAnsi="Calibri"/>
              </w:rPr>
              <w:t xml:space="preserve"> Ciara O’Leary</w:t>
            </w:r>
          </w:p>
        </w:tc>
      </w:tr>
    </w:tbl>
    <w:p w14:paraId="3897BF55" w14:textId="3093F9F2" w:rsidR="00B51C3E" w:rsidRDefault="00B51C3E"/>
    <w:p w14:paraId="37E87921" w14:textId="6C7BB403" w:rsidR="00B51C3E" w:rsidRDefault="00B51C3E"/>
    <w:p w14:paraId="60B5CCCD" w14:textId="1ABBCE10" w:rsidR="00B51C3E" w:rsidRDefault="00B51C3E"/>
    <w:p w14:paraId="31DCEC4B" w14:textId="0361D7BC" w:rsidR="00B51C3E" w:rsidRDefault="00B51C3E"/>
    <w:p w14:paraId="5B9DFCA5" w14:textId="56F22C5E" w:rsidR="00B51C3E" w:rsidRDefault="00B51C3E"/>
    <w:p w14:paraId="239CF79A" w14:textId="57D3A689" w:rsidR="00B51C3E" w:rsidRDefault="00B51C3E"/>
    <w:p w14:paraId="6DA8BC92" w14:textId="7D570EF8" w:rsidR="00B51C3E" w:rsidRDefault="00B51C3E"/>
    <w:p w14:paraId="0FE62985" w14:textId="0BD39CAD" w:rsidR="00B51C3E" w:rsidRDefault="00B51C3E"/>
    <w:p w14:paraId="502E45A7" w14:textId="1A330956" w:rsidR="00B51C3E" w:rsidRDefault="00B51C3E"/>
    <w:p w14:paraId="32F9F0C6" w14:textId="3996AF2D" w:rsidR="00B51C3E" w:rsidRDefault="00B51C3E"/>
    <w:p w14:paraId="64CB239E" w14:textId="60224F2B" w:rsidR="00B51C3E" w:rsidRDefault="00B51C3E"/>
    <w:p w14:paraId="1F441E9B" w14:textId="1356EF10" w:rsidR="00B51C3E" w:rsidRDefault="00B51C3E"/>
    <w:p w14:paraId="091DE89F" w14:textId="5B71CAE4" w:rsidR="00B51C3E" w:rsidRDefault="00B51C3E"/>
    <w:p w14:paraId="37817055" w14:textId="7BBF4F1B" w:rsidR="00B51C3E" w:rsidRDefault="00B51C3E"/>
    <w:p w14:paraId="754AC407" w14:textId="504F3F3F" w:rsidR="00B51C3E" w:rsidRDefault="00B51C3E"/>
    <w:p w14:paraId="52597EB9" w14:textId="28BF3185" w:rsidR="00B51C3E" w:rsidRDefault="00B51C3E" w:rsidP="00D24228">
      <w:pPr>
        <w:pStyle w:val="ListParagraph"/>
        <w:numPr>
          <w:ilvl w:val="0"/>
          <w:numId w:val="4"/>
        </w:numPr>
        <w:spacing w:before="480" w:after="240" w:line="240" w:lineRule="auto"/>
        <w:ind w:left="426" w:hanging="426"/>
        <w:contextualSpacing w:val="0"/>
        <w:jc w:val="both"/>
        <w:rPr>
          <w:b/>
          <w:bCs/>
        </w:rPr>
      </w:pPr>
      <w:r>
        <w:rPr>
          <w:b/>
          <w:bCs/>
        </w:rPr>
        <w:t>Attendance</w:t>
      </w:r>
    </w:p>
    <w:p w14:paraId="766BC403" w14:textId="731B1BA0" w:rsidR="00B51C3E" w:rsidRPr="00B51C3E" w:rsidRDefault="00B51C3E" w:rsidP="00E10F0C">
      <w:pPr>
        <w:spacing w:after="240" w:line="240" w:lineRule="auto"/>
        <w:jc w:val="both"/>
      </w:pPr>
      <w:r w:rsidRPr="00B51C3E">
        <w:rPr>
          <w:rFonts w:ascii="Calibri" w:hAnsi="Calibri"/>
          <w:bCs/>
        </w:rPr>
        <w:t>The Chair welcomed the new Secretary</w:t>
      </w:r>
      <w:r w:rsidR="00897EBA">
        <w:rPr>
          <w:rFonts w:ascii="Calibri" w:hAnsi="Calibri"/>
          <w:bCs/>
        </w:rPr>
        <w:t>, Ms Deirdre Morgan,</w:t>
      </w:r>
      <w:r w:rsidR="00316196">
        <w:rPr>
          <w:rFonts w:ascii="Calibri" w:hAnsi="Calibri"/>
          <w:bCs/>
        </w:rPr>
        <w:t xml:space="preserve"> to the Group and </w:t>
      </w:r>
      <w:r w:rsidRPr="00B51C3E">
        <w:rPr>
          <w:rFonts w:ascii="Calibri" w:hAnsi="Calibri"/>
          <w:bCs/>
        </w:rPr>
        <w:t>noted apologies.</w:t>
      </w:r>
    </w:p>
    <w:p w14:paraId="5141DCBC" w14:textId="0EEA6CB8" w:rsidR="00B51C3E" w:rsidRDefault="00B51C3E" w:rsidP="00D24228">
      <w:pPr>
        <w:pStyle w:val="ListParagraph"/>
        <w:numPr>
          <w:ilvl w:val="0"/>
          <w:numId w:val="4"/>
        </w:numPr>
        <w:spacing w:before="480" w:after="240" w:line="240" w:lineRule="auto"/>
        <w:ind w:left="426" w:hanging="426"/>
        <w:contextualSpacing w:val="0"/>
        <w:jc w:val="both"/>
        <w:rPr>
          <w:b/>
          <w:bCs/>
        </w:rPr>
      </w:pPr>
      <w:r w:rsidRPr="008A790E">
        <w:rPr>
          <w:b/>
          <w:bCs/>
        </w:rPr>
        <w:t>Declarations of interest under the CLRG’s Code of Practice</w:t>
      </w:r>
    </w:p>
    <w:p w14:paraId="66BE0158" w14:textId="302CFC5C" w:rsidR="00B51C3E" w:rsidRPr="004E1F24" w:rsidRDefault="00B51C3E" w:rsidP="00E10F0C">
      <w:pPr>
        <w:spacing w:after="240" w:line="240" w:lineRule="auto"/>
        <w:jc w:val="both"/>
        <w:rPr>
          <w:rFonts w:ascii="Calibri" w:hAnsi="Calibri"/>
          <w:bCs/>
        </w:rPr>
      </w:pPr>
      <w:r w:rsidRPr="00594BDF">
        <w:rPr>
          <w:rFonts w:ascii="Calibri" w:hAnsi="Calibri"/>
          <w:bCs/>
        </w:rPr>
        <w:t xml:space="preserve">As per the Code of Practice, members are </w:t>
      </w:r>
      <w:r w:rsidRPr="00E10F0C">
        <w:rPr>
          <w:bCs/>
        </w:rPr>
        <w:t>obliged</w:t>
      </w:r>
      <w:r w:rsidRPr="00594BDF">
        <w:rPr>
          <w:rFonts w:ascii="Calibri" w:hAnsi="Calibri"/>
          <w:bCs/>
        </w:rPr>
        <w:t xml:space="preserve"> to notify either the Secretariat or</w:t>
      </w:r>
      <w:r>
        <w:rPr>
          <w:rFonts w:ascii="Calibri" w:hAnsi="Calibri"/>
          <w:bCs/>
        </w:rPr>
        <w:t xml:space="preserve"> </w:t>
      </w:r>
      <w:r w:rsidRPr="00594BDF">
        <w:rPr>
          <w:rFonts w:ascii="Calibri" w:hAnsi="Calibri"/>
          <w:bCs/>
        </w:rPr>
        <w:t xml:space="preserve">Chair should they </w:t>
      </w:r>
      <w:r>
        <w:rPr>
          <w:rFonts w:ascii="Calibri" w:hAnsi="Calibri"/>
          <w:bCs/>
        </w:rPr>
        <w:t>have</w:t>
      </w:r>
      <w:r w:rsidRPr="00594BDF">
        <w:rPr>
          <w:rFonts w:ascii="Calibri" w:hAnsi="Calibri"/>
          <w:bCs/>
        </w:rPr>
        <w:t xml:space="preserve"> a conflict of interest in relation to any agenda item at Plenary or Committee meetings. </w:t>
      </w:r>
      <w:r w:rsidR="00097CC7">
        <w:rPr>
          <w:rFonts w:ascii="Calibri" w:hAnsi="Calibri"/>
          <w:bCs/>
        </w:rPr>
        <w:t>No such interests were disclosed to the Chair or Secretariat</w:t>
      </w:r>
      <w:r w:rsidRPr="004E1F24">
        <w:rPr>
          <w:rFonts w:ascii="Calibri" w:hAnsi="Calibri"/>
          <w:bCs/>
        </w:rPr>
        <w:t>.</w:t>
      </w:r>
    </w:p>
    <w:p w14:paraId="05AE792A" w14:textId="757F1988" w:rsidR="00B51C3E" w:rsidRPr="008A790E" w:rsidRDefault="00B51C3E" w:rsidP="00D24228">
      <w:pPr>
        <w:pStyle w:val="ListParagraph"/>
        <w:numPr>
          <w:ilvl w:val="0"/>
          <w:numId w:val="4"/>
        </w:numPr>
        <w:spacing w:before="480" w:after="240" w:line="240" w:lineRule="auto"/>
        <w:ind w:left="426" w:hanging="426"/>
        <w:contextualSpacing w:val="0"/>
        <w:jc w:val="both"/>
        <w:rPr>
          <w:b/>
          <w:bCs/>
        </w:rPr>
      </w:pPr>
      <w:r w:rsidRPr="008A790E">
        <w:rPr>
          <w:b/>
          <w:bCs/>
        </w:rPr>
        <w:t xml:space="preserve">Minutes of the 96th Review Group meeting held on 24 March 2022 </w:t>
      </w:r>
    </w:p>
    <w:p w14:paraId="116AE773" w14:textId="38E99ED5" w:rsidR="00B51C3E" w:rsidRDefault="00B51C3E" w:rsidP="00E10F0C">
      <w:pPr>
        <w:spacing w:after="240" w:line="240" w:lineRule="auto"/>
        <w:jc w:val="both"/>
        <w:rPr>
          <w:rFonts w:cstheme="minorHAnsi"/>
        </w:rPr>
      </w:pPr>
      <w:r w:rsidRPr="00CF7974">
        <w:rPr>
          <w:rFonts w:cstheme="minorHAnsi"/>
        </w:rPr>
        <w:t>The minutes of the 9</w:t>
      </w:r>
      <w:r>
        <w:rPr>
          <w:rFonts w:cstheme="minorHAnsi"/>
        </w:rPr>
        <w:t>6</w:t>
      </w:r>
      <w:r w:rsidRPr="00CF7974">
        <w:rPr>
          <w:rFonts w:cstheme="minorHAnsi"/>
          <w:vertAlign w:val="superscript"/>
        </w:rPr>
        <w:t>th</w:t>
      </w:r>
      <w:r>
        <w:rPr>
          <w:rFonts w:cstheme="minorHAnsi"/>
        </w:rPr>
        <w:t xml:space="preserve"> </w:t>
      </w:r>
      <w:r w:rsidRPr="00CF7974">
        <w:rPr>
          <w:rFonts w:cstheme="minorHAnsi"/>
        </w:rPr>
        <w:t xml:space="preserve">Plenary </w:t>
      </w:r>
      <w:r w:rsidRPr="00E10F0C">
        <w:rPr>
          <w:rFonts w:ascii="Calibri" w:hAnsi="Calibri" w:cs="Times New Roman"/>
          <w:bCs/>
        </w:rPr>
        <w:t>were</w:t>
      </w:r>
      <w:r w:rsidRPr="00CF7974">
        <w:rPr>
          <w:rFonts w:cstheme="minorHAnsi"/>
        </w:rPr>
        <w:t xml:space="preserve"> </w:t>
      </w:r>
      <w:r w:rsidRPr="00E10F0C">
        <w:rPr>
          <w:bCs/>
        </w:rPr>
        <w:t>approv</w:t>
      </w:r>
      <w:r w:rsidR="00097CC7" w:rsidRPr="00E10F0C">
        <w:rPr>
          <w:bCs/>
        </w:rPr>
        <w:t>ed</w:t>
      </w:r>
      <w:r w:rsidRPr="00CF7974">
        <w:rPr>
          <w:rFonts w:cstheme="minorHAnsi"/>
        </w:rPr>
        <w:t>.</w:t>
      </w:r>
    </w:p>
    <w:p w14:paraId="58E7E16A" w14:textId="73647A5B" w:rsidR="00B51C3E" w:rsidRPr="008A790E" w:rsidRDefault="00B51C3E" w:rsidP="00D24228">
      <w:pPr>
        <w:pStyle w:val="ListParagraph"/>
        <w:numPr>
          <w:ilvl w:val="0"/>
          <w:numId w:val="4"/>
        </w:numPr>
        <w:spacing w:before="480" w:after="240" w:line="240" w:lineRule="auto"/>
        <w:ind w:left="426" w:hanging="426"/>
        <w:contextualSpacing w:val="0"/>
        <w:jc w:val="both"/>
        <w:rPr>
          <w:b/>
          <w:bCs/>
        </w:rPr>
      </w:pPr>
      <w:r w:rsidRPr="008A790E">
        <w:rPr>
          <w:b/>
          <w:bCs/>
        </w:rPr>
        <w:lastRenderedPageBreak/>
        <w:t xml:space="preserve">Consideration of the Report of the Corporate Governance Committee miscellaneous issues under the Companies Act </w:t>
      </w:r>
    </w:p>
    <w:p w14:paraId="0CA2CD66" w14:textId="5473F847" w:rsidR="00B51C3E" w:rsidRPr="00C720F4" w:rsidRDefault="00097CC7" w:rsidP="00E10F0C">
      <w:pPr>
        <w:spacing w:after="240" w:line="240" w:lineRule="auto"/>
        <w:jc w:val="both"/>
        <w:rPr>
          <w:rFonts w:cstheme="minorHAnsi"/>
        </w:rPr>
      </w:pPr>
      <w:r w:rsidRPr="00097CC7">
        <w:rPr>
          <w:rFonts w:cstheme="minorHAnsi"/>
        </w:rPr>
        <w:t>The Committee Chair</w:t>
      </w:r>
      <w:r w:rsidR="00CE0A35">
        <w:rPr>
          <w:rFonts w:cstheme="minorHAnsi"/>
        </w:rPr>
        <w:t>, Mr Salvador Nash,</w:t>
      </w:r>
      <w:r w:rsidRPr="00097CC7">
        <w:rPr>
          <w:rFonts w:cstheme="minorHAnsi"/>
        </w:rPr>
        <w:t xml:space="preserve"> presented on the </w:t>
      </w:r>
      <w:r w:rsidR="00F52809">
        <w:rPr>
          <w:rFonts w:cstheme="minorHAnsi"/>
        </w:rPr>
        <w:t xml:space="preserve">different issues considered by the </w:t>
      </w:r>
      <w:r w:rsidR="00F52809" w:rsidRPr="00097CC7">
        <w:rPr>
          <w:rFonts w:cstheme="minorHAnsi"/>
        </w:rPr>
        <w:t>Committee</w:t>
      </w:r>
      <w:r w:rsidR="00F52809">
        <w:rPr>
          <w:rFonts w:cstheme="minorHAnsi"/>
        </w:rPr>
        <w:t xml:space="preserve"> and </w:t>
      </w:r>
      <w:r w:rsidR="00316196">
        <w:rPr>
          <w:rFonts w:cstheme="minorHAnsi"/>
        </w:rPr>
        <w:t xml:space="preserve">the </w:t>
      </w:r>
      <w:r w:rsidR="00E10F0C">
        <w:rPr>
          <w:rFonts w:cstheme="minorHAnsi"/>
        </w:rPr>
        <w:t>resulting</w:t>
      </w:r>
      <w:r w:rsidR="00F52809">
        <w:rPr>
          <w:rFonts w:cstheme="minorHAnsi"/>
        </w:rPr>
        <w:t xml:space="preserve"> recommendations</w:t>
      </w:r>
      <w:r w:rsidRPr="00097CC7">
        <w:rPr>
          <w:rFonts w:cstheme="minorHAnsi"/>
        </w:rPr>
        <w:t xml:space="preserve">. </w:t>
      </w:r>
      <w:r w:rsidR="008974D8" w:rsidRPr="002C308D">
        <w:rPr>
          <w:rFonts w:cstheme="minorHAnsi"/>
        </w:rPr>
        <w:t>The recommendations were considered by the Review Group</w:t>
      </w:r>
      <w:r w:rsidR="008974D8">
        <w:rPr>
          <w:rFonts w:cstheme="minorHAnsi"/>
        </w:rPr>
        <w:t xml:space="preserve"> with further deliberation on issues 7 and 8</w:t>
      </w:r>
      <w:r w:rsidR="00B35A65">
        <w:rPr>
          <w:rFonts w:cstheme="minorHAnsi"/>
        </w:rPr>
        <w:t xml:space="preserve">. The report was agreed as amended </w:t>
      </w:r>
      <w:r w:rsidR="00CE08FC">
        <w:rPr>
          <w:rFonts w:cstheme="minorHAnsi"/>
        </w:rPr>
        <w:t xml:space="preserve">and </w:t>
      </w:r>
      <w:r w:rsidR="00B35A65">
        <w:rPr>
          <w:rFonts w:cstheme="minorHAnsi"/>
        </w:rPr>
        <w:t xml:space="preserve">formally </w:t>
      </w:r>
      <w:r w:rsidR="00CE08FC">
        <w:rPr>
          <w:rFonts w:cstheme="minorHAnsi"/>
        </w:rPr>
        <w:t xml:space="preserve">adopted. It was noted </w:t>
      </w:r>
      <w:r w:rsidR="008974D8">
        <w:rPr>
          <w:rFonts w:cstheme="minorHAnsi"/>
        </w:rPr>
        <w:t xml:space="preserve">that some of the recommendations </w:t>
      </w:r>
      <w:r w:rsidR="00E71068">
        <w:rPr>
          <w:rFonts w:cstheme="minorHAnsi"/>
        </w:rPr>
        <w:t>provide</w:t>
      </w:r>
      <w:r w:rsidR="00CE08FC">
        <w:rPr>
          <w:rFonts w:cstheme="minorHAnsi"/>
        </w:rPr>
        <w:t xml:space="preserve"> that further consideration be </w:t>
      </w:r>
      <w:r w:rsidR="00CE08FC" w:rsidRPr="00E10F0C">
        <w:rPr>
          <w:bCs/>
        </w:rPr>
        <w:t>given</w:t>
      </w:r>
      <w:r w:rsidR="00CE08FC">
        <w:rPr>
          <w:rFonts w:cstheme="minorHAnsi"/>
        </w:rPr>
        <w:t xml:space="preserve"> </w:t>
      </w:r>
      <w:r w:rsidR="00E10F0C">
        <w:rPr>
          <w:rFonts w:cstheme="minorHAnsi"/>
        </w:rPr>
        <w:t xml:space="preserve">by the </w:t>
      </w:r>
      <w:r w:rsidR="00316196">
        <w:rPr>
          <w:rFonts w:cstheme="minorHAnsi"/>
        </w:rPr>
        <w:t>C</w:t>
      </w:r>
      <w:r w:rsidR="00E10F0C">
        <w:rPr>
          <w:rFonts w:cstheme="minorHAnsi"/>
        </w:rPr>
        <w:t xml:space="preserve">ommittee </w:t>
      </w:r>
      <w:r w:rsidR="00E71068">
        <w:rPr>
          <w:rFonts w:cstheme="minorHAnsi"/>
        </w:rPr>
        <w:t xml:space="preserve">in due course. </w:t>
      </w:r>
      <w:r w:rsidR="00E10F0C">
        <w:rPr>
          <w:rFonts w:cstheme="minorHAnsi"/>
        </w:rPr>
        <w:t>The Review Group m</w:t>
      </w:r>
      <w:r w:rsidRPr="00097CC7">
        <w:rPr>
          <w:rFonts w:cstheme="minorHAnsi"/>
        </w:rPr>
        <w:t>embers thank</w:t>
      </w:r>
      <w:r w:rsidR="00E10F0C">
        <w:rPr>
          <w:rFonts w:cstheme="minorHAnsi"/>
        </w:rPr>
        <w:t>ed</w:t>
      </w:r>
      <w:r w:rsidRPr="00097CC7">
        <w:rPr>
          <w:rFonts w:cstheme="minorHAnsi"/>
        </w:rPr>
        <w:t xml:space="preserve"> the Committee Chair and members for their work in preparing the report.  </w:t>
      </w:r>
    </w:p>
    <w:p w14:paraId="5CAE7C46" w14:textId="77777777" w:rsidR="00B51C3E" w:rsidRDefault="00B51C3E" w:rsidP="00D24228">
      <w:pPr>
        <w:pStyle w:val="ListParagraph"/>
        <w:numPr>
          <w:ilvl w:val="0"/>
          <w:numId w:val="4"/>
        </w:numPr>
        <w:spacing w:before="480" w:after="240" w:line="240" w:lineRule="auto"/>
        <w:ind w:left="426" w:hanging="426"/>
        <w:contextualSpacing w:val="0"/>
        <w:jc w:val="both"/>
        <w:rPr>
          <w:b/>
          <w:bCs/>
        </w:rPr>
      </w:pPr>
      <w:r w:rsidRPr="008A790E">
        <w:rPr>
          <w:b/>
          <w:bCs/>
        </w:rPr>
        <w:t xml:space="preserve">Update and planned programme of the Corporate Insolvency Committee </w:t>
      </w:r>
    </w:p>
    <w:p w14:paraId="0E95F2DA" w14:textId="31D7BE13" w:rsidR="00A630C9" w:rsidRDefault="00B51C3E">
      <w:pPr>
        <w:spacing w:after="240" w:line="240" w:lineRule="auto"/>
        <w:jc w:val="both"/>
        <w:rPr>
          <w:lang w:val="en-US"/>
        </w:rPr>
      </w:pPr>
      <w:r>
        <w:rPr>
          <w:bCs/>
        </w:rPr>
        <w:t xml:space="preserve">The </w:t>
      </w:r>
      <w:r w:rsidRPr="008176A0">
        <w:rPr>
          <w:bCs/>
        </w:rPr>
        <w:t>Committee Chair</w:t>
      </w:r>
      <w:r w:rsidR="00CE0A35">
        <w:rPr>
          <w:bCs/>
        </w:rPr>
        <w:t>, Prof. Irene Lynch Fannon,</w:t>
      </w:r>
      <w:r w:rsidR="00316196">
        <w:rPr>
          <w:bCs/>
        </w:rPr>
        <w:t xml:space="preserve"> </w:t>
      </w:r>
      <w:r w:rsidR="00AA2818">
        <w:rPr>
          <w:bCs/>
        </w:rPr>
        <w:t>advised that</w:t>
      </w:r>
      <w:r w:rsidR="00B7210F">
        <w:rPr>
          <w:bCs/>
        </w:rPr>
        <w:t xml:space="preserve"> </w:t>
      </w:r>
      <w:r w:rsidR="00B7210F">
        <w:rPr>
          <w:lang w:val="en-US"/>
        </w:rPr>
        <w:t xml:space="preserve">a </w:t>
      </w:r>
      <w:r w:rsidR="00AA2818">
        <w:rPr>
          <w:lang w:val="en-US"/>
        </w:rPr>
        <w:t xml:space="preserve">potential </w:t>
      </w:r>
      <w:r w:rsidR="00B7210F">
        <w:rPr>
          <w:lang w:val="en-US"/>
        </w:rPr>
        <w:t xml:space="preserve">system of Self-Administered Liquidation which was first recommended by the </w:t>
      </w:r>
      <w:r w:rsidR="00316196">
        <w:rPr>
          <w:lang w:val="en-US"/>
        </w:rPr>
        <w:t>CLRG in</w:t>
      </w:r>
      <w:r w:rsidR="00B7210F">
        <w:rPr>
          <w:lang w:val="en-US"/>
        </w:rPr>
        <w:t xml:space="preserve"> its 2017 Report on the Protection of Employees and Unsecured Creditors and subsequently became item 8 of the CLRG’s work </w:t>
      </w:r>
      <w:proofErr w:type="spellStart"/>
      <w:r w:rsidR="00B7210F">
        <w:rPr>
          <w:lang w:val="en-US"/>
        </w:rPr>
        <w:t>programme</w:t>
      </w:r>
      <w:proofErr w:type="spellEnd"/>
      <w:r w:rsidR="00B7210F">
        <w:rPr>
          <w:lang w:val="en-US"/>
        </w:rPr>
        <w:t xml:space="preserve"> for 2020-2022</w:t>
      </w:r>
      <w:r w:rsidR="00AA2818">
        <w:rPr>
          <w:lang w:val="en-US"/>
        </w:rPr>
        <w:t xml:space="preserve"> will be continued under the new proposed work </w:t>
      </w:r>
      <w:proofErr w:type="spellStart"/>
      <w:r w:rsidR="00AA2818">
        <w:rPr>
          <w:lang w:val="en-US"/>
        </w:rPr>
        <w:t>programme</w:t>
      </w:r>
      <w:proofErr w:type="spellEnd"/>
      <w:r w:rsidR="00B7210F">
        <w:rPr>
          <w:lang w:val="en-US"/>
        </w:rPr>
        <w:t>.</w:t>
      </w:r>
      <w:r w:rsidR="00AA2818">
        <w:rPr>
          <w:lang w:val="en-US"/>
        </w:rPr>
        <w:t xml:space="preserve">  </w:t>
      </w:r>
      <w:r w:rsidR="00A630C9">
        <w:rPr>
          <w:lang w:val="en-US"/>
        </w:rPr>
        <w:t>The Committee Chair informed the Group that preliminary research had been done on this issue by David Allen BL. This included a comparative assessment of what was available in relevant jurisdictions.</w:t>
      </w:r>
    </w:p>
    <w:p w14:paraId="1EFD942D" w14:textId="4682F5B3" w:rsidR="00B427BC" w:rsidRDefault="00316196">
      <w:pPr>
        <w:spacing w:after="240" w:line="240" w:lineRule="auto"/>
        <w:jc w:val="both"/>
        <w:rPr>
          <w:lang w:val="en-US"/>
        </w:rPr>
      </w:pPr>
      <w:r>
        <w:rPr>
          <w:lang w:val="en-US"/>
        </w:rPr>
        <w:t xml:space="preserve">It was </w:t>
      </w:r>
      <w:r w:rsidR="00AA2818">
        <w:rPr>
          <w:lang w:val="en-US"/>
        </w:rPr>
        <w:t xml:space="preserve">noted that the Department had responded to the </w:t>
      </w:r>
      <w:r w:rsidR="00A630C9">
        <w:rPr>
          <w:lang w:val="en-US"/>
        </w:rPr>
        <w:t>Preventive Restructuring Directive (</w:t>
      </w:r>
      <w:r w:rsidR="00AA2818">
        <w:rPr>
          <w:lang w:val="en-US"/>
        </w:rPr>
        <w:t>PRD</w:t>
      </w:r>
      <w:r w:rsidR="00A630C9">
        <w:rPr>
          <w:lang w:val="en-US"/>
        </w:rPr>
        <w:t>)</w:t>
      </w:r>
      <w:r w:rsidR="00AA2818">
        <w:rPr>
          <w:lang w:val="en-US"/>
        </w:rPr>
        <w:t xml:space="preserve"> public consultation document and that the Committee</w:t>
      </w:r>
      <w:r w:rsidR="00EA7507">
        <w:rPr>
          <w:lang w:val="en-US"/>
        </w:rPr>
        <w:t xml:space="preserve"> will</w:t>
      </w:r>
      <w:r w:rsidR="00AA2818">
        <w:rPr>
          <w:lang w:val="en-US"/>
        </w:rPr>
        <w:t xml:space="preserve"> keep the transposition </w:t>
      </w:r>
      <w:r w:rsidR="00EA7507">
        <w:rPr>
          <w:lang w:val="en-US"/>
        </w:rPr>
        <w:t>of the PRD under review.</w:t>
      </w:r>
      <w:r w:rsidR="00B7210F">
        <w:rPr>
          <w:lang w:val="en-US"/>
        </w:rPr>
        <w:t xml:space="preserve"> </w:t>
      </w:r>
    </w:p>
    <w:p w14:paraId="5953F981" w14:textId="61734A7D" w:rsidR="00B51C3E" w:rsidRPr="008A790E" w:rsidRDefault="00B51C3E" w:rsidP="00B427BC">
      <w:pPr>
        <w:pStyle w:val="ListParagraph"/>
        <w:numPr>
          <w:ilvl w:val="0"/>
          <w:numId w:val="4"/>
        </w:numPr>
        <w:spacing w:before="480" w:after="240" w:line="240" w:lineRule="auto"/>
        <w:ind w:left="426" w:hanging="426"/>
        <w:contextualSpacing w:val="0"/>
        <w:jc w:val="both"/>
        <w:rPr>
          <w:b/>
          <w:bCs/>
        </w:rPr>
      </w:pPr>
      <w:r w:rsidRPr="008A790E">
        <w:rPr>
          <w:b/>
          <w:bCs/>
        </w:rPr>
        <w:t xml:space="preserve">Update and planned programme of the Public Company Committee </w:t>
      </w:r>
    </w:p>
    <w:p w14:paraId="4630974C" w14:textId="5AD4EBD4" w:rsidR="00B427BC" w:rsidRDefault="00B51C3E" w:rsidP="00B427BC">
      <w:pPr>
        <w:spacing w:after="240" w:line="240" w:lineRule="auto"/>
        <w:jc w:val="both"/>
        <w:rPr>
          <w:rFonts w:ascii="Calibri" w:hAnsi="Calibri"/>
          <w:bCs/>
        </w:rPr>
      </w:pPr>
      <w:r w:rsidRPr="008176A0">
        <w:rPr>
          <w:rFonts w:ascii="Calibri" w:hAnsi="Calibri"/>
          <w:bCs/>
        </w:rPr>
        <w:t>The Committee Chair</w:t>
      </w:r>
      <w:r w:rsidR="00CE0A35">
        <w:rPr>
          <w:rFonts w:ascii="Calibri" w:hAnsi="Calibri"/>
          <w:bCs/>
        </w:rPr>
        <w:t>, Paul Egan SC,</w:t>
      </w:r>
      <w:r w:rsidR="00316196">
        <w:rPr>
          <w:rFonts w:ascii="Calibri" w:hAnsi="Calibri"/>
          <w:bCs/>
        </w:rPr>
        <w:t xml:space="preserve"> </w:t>
      </w:r>
      <w:r w:rsidR="0067072D">
        <w:rPr>
          <w:rFonts w:ascii="Calibri" w:hAnsi="Calibri"/>
          <w:bCs/>
        </w:rPr>
        <w:t xml:space="preserve">stated </w:t>
      </w:r>
      <w:r w:rsidR="0067072D" w:rsidRPr="00E10F0C">
        <w:rPr>
          <w:bCs/>
        </w:rPr>
        <w:t>that</w:t>
      </w:r>
      <w:r w:rsidR="0067072D">
        <w:rPr>
          <w:rFonts w:ascii="Calibri" w:hAnsi="Calibri"/>
          <w:bCs/>
        </w:rPr>
        <w:t xml:space="preserve"> there </w:t>
      </w:r>
      <w:r w:rsidR="00BA4702">
        <w:rPr>
          <w:rFonts w:ascii="Calibri" w:hAnsi="Calibri"/>
          <w:bCs/>
        </w:rPr>
        <w:t>are no items for consideration at present</w:t>
      </w:r>
      <w:r w:rsidR="00EA7507">
        <w:rPr>
          <w:rFonts w:ascii="Calibri" w:hAnsi="Calibri"/>
          <w:bCs/>
        </w:rPr>
        <w:t>.</w:t>
      </w:r>
      <w:r w:rsidR="00BA4702">
        <w:rPr>
          <w:rFonts w:ascii="Calibri" w:hAnsi="Calibri"/>
          <w:bCs/>
        </w:rPr>
        <w:t xml:space="preserve"> </w:t>
      </w:r>
    </w:p>
    <w:p w14:paraId="2D4E906E" w14:textId="13E152C2" w:rsidR="00B51C3E" w:rsidRPr="008A790E" w:rsidRDefault="00B51C3E" w:rsidP="00B427BC">
      <w:pPr>
        <w:pStyle w:val="ListParagraph"/>
        <w:numPr>
          <w:ilvl w:val="0"/>
          <w:numId w:val="4"/>
        </w:numPr>
        <w:spacing w:before="480" w:after="240" w:line="240" w:lineRule="auto"/>
        <w:ind w:left="426" w:hanging="426"/>
        <w:contextualSpacing w:val="0"/>
        <w:jc w:val="both"/>
        <w:rPr>
          <w:b/>
          <w:bCs/>
        </w:rPr>
      </w:pPr>
      <w:r w:rsidRPr="008A790E">
        <w:rPr>
          <w:b/>
          <w:bCs/>
        </w:rPr>
        <w:t xml:space="preserve">Update and planned programme of the Corporate Governance Committee </w:t>
      </w:r>
    </w:p>
    <w:p w14:paraId="3A0794A4" w14:textId="09269A63" w:rsidR="00B51C3E" w:rsidRPr="008176A0" w:rsidRDefault="00B51C3E" w:rsidP="00E10F0C">
      <w:pPr>
        <w:spacing w:after="240" w:line="240" w:lineRule="auto"/>
        <w:jc w:val="both"/>
        <w:rPr>
          <w:rFonts w:ascii="Calibri" w:hAnsi="Calibri"/>
          <w:bCs/>
        </w:rPr>
      </w:pPr>
      <w:r w:rsidRPr="008176A0">
        <w:rPr>
          <w:rFonts w:ascii="Calibri" w:hAnsi="Calibri"/>
          <w:bCs/>
        </w:rPr>
        <w:t>The Committee Chair</w:t>
      </w:r>
      <w:r w:rsidR="00CE0A35">
        <w:rPr>
          <w:rFonts w:cstheme="minorHAnsi"/>
        </w:rPr>
        <w:t>, Mr Salvador Nash,</w:t>
      </w:r>
      <w:r w:rsidR="00C9533F">
        <w:rPr>
          <w:rFonts w:ascii="Calibri" w:hAnsi="Calibri"/>
          <w:bCs/>
        </w:rPr>
        <w:t xml:space="preserve"> </w:t>
      </w:r>
      <w:r w:rsidR="00BA4702">
        <w:rPr>
          <w:rFonts w:ascii="Calibri" w:hAnsi="Calibri"/>
          <w:bCs/>
        </w:rPr>
        <w:t xml:space="preserve">set out </w:t>
      </w:r>
      <w:proofErr w:type="gramStart"/>
      <w:r w:rsidR="00BA4702">
        <w:rPr>
          <w:rFonts w:ascii="Calibri" w:hAnsi="Calibri"/>
          <w:bCs/>
        </w:rPr>
        <w:t xml:space="preserve">a </w:t>
      </w:r>
      <w:r w:rsidR="00BA4702" w:rsidRPr="00E10F0C">
        <w:rPr>
          <w:rFonts w:cstheme="minorHAnsi"/>
        </w:rPr>
        <w:t>number</w:t>
      </w:r>
      <w:r w:rsidR="00BA4702">
        <w:rPr>
          <w:rFonts w:ascii="Calibri" w:hAnsi="Calibri"/>
          <w:bCs/>
        </w:rPr>
        <w:t xml:space="preserve"> of</w:t>
      </w:r>
      <w:proofErr w:type="gramEnd"/>
      <w:r w:rsidR="00BA4702">
        <w:rPr>
          <w:rFonts w:ascii="Calibri" w:hAnsi="Calibri"/>
          <w:bCs/>
        </w:rPr>
        <w:t xml:space="preserve"> work items </w:t>
      </w:r>
      <w:r w:rsidR="00BA4702" w:rsidRPr="00E10F0C">
        <w:rPr>
          <w:bCs/>
        </w:rPr>
        <w:t>that</w:t>
      </w:r>
      <w:r w:rsidR="00BA4702">
        <w:rPr>
          <w:rFonts w:ascii="Calibri" w:hAnsi="Calibri"/>
          <w:bCs/>
        </w:rPr>
        <w:t xml:space="preserve"> will be considered by the new </w:t>
      </w:r>
      <w:r w:rsidRPr="008176A0">
        <w:rPr>
          <w:rFonts w:ascii="Calibri" w:hAnsi="Calibri"/>
          <w:bCs/>
        </w:rPr>
        <w:t>Committee</w:t>
      </w:r>
      <w:r w:rsidR="00EA7507">
        <w:rPr>
          <w:rFonts w:ascii="Calibri" w:hAnsi="Calibri"/>
          <w:bCs/>
        </w:rPr>
        <w:t xml:space="preserve"> including the </w:t>
      </w:r>
      <w:r w:rsidR="00BA4702">
        <w:rPr>
          <w:rFonts w:ascii="Calibri" w:hAnsi="Calibri"/>
          <w:bCs/>
        </w:rPr>
        <w:t>Directors’ Compliance Statements</w:t>
      </w:r>
      <w:r w:rsidR="00EA7507">
        <w:rPr>
          <w:rFonts w:ascii="Calibri" w:hAnsi="Calibri"/>
          <w:bCs/>
        </w:rPr>
        <w:t xml:space="preserve"> which </w:t>
      </w:r>
      <w:r w:rsidR="0004121C">
        <w:rPr>
          <w:rFonts w:ascii="Calibri" w:hAnsi="Calibri"/>
          <w:bCs/>
        </w:rPr>
        <w:t>is being c</w:t>
      </w:r>
      <w:r w:rsidR="00EA7507">
        <w:rPr>
          <w:rFonts w:ascii="Calibri" w:hAnsi="Calibri"/>
          <w:bCs/>
        </w:rPr>
        <w:t xml:space="preserve">arried over </w:t>
      </w:r>
      <w:r w:rsidR="0004121C">
        <w:rPr>
          <w:rFonts w:ascii="Calibri" w:hAnsi="Calibri"/>
          <w:bCs/>
        </w:rPr>
        <w:t>from th</w:t>
      </w:r>
      <w:r w:rsidR="00EA7507">
        <w:rPr>
          <w:rFonts w:ascii="Calibri" w:hAnsi="Calibri"/>
          <w:bCs/>
        </w:rPr>
        <w:t xml:space="preserve">e 2020-2022 Work Programme. </w:t>
      </w:r>
    </w:p>
    <w:p w14:paraId="1B345ADF" w14:textId="1FABA799" w:rsidR="00B51C3E" w:rsidRPr="0016185D" w:rsidRDefault="00B51C3E" w:rsidP="00D24228">
      <w:pPr>
        <w:pStyle w:val="ListParagraph"/>
        <w:numPr>
          <w:ilvl w:val="0"/>
          <w:numId w:val="4"/>
        </w:numPr>
        <w:spacing w:before="480" w:after="240" w:line="240" w:lineRule="auto"/>
        <w:ind w:left="426" w:hanging="426"/>
        <w:contextualSpacing w:val="0"/>
        <w:jc w:val="both"/>
        <w:rPr>
          <w:b/>
          <w:bCs/>
        </w:rPr>
      </w:pPr>
      <w:r w:rsidRPr="008A790E">
        <w:rPr>
          <w:b/>
          <w:bCs/>
        </w:rPr>
        <w:t xml:space="preserve">Update on Corporate Enforcement </w:t>
      </w:r>
    </w:p>
    <w:p w14:paraId="5FBCBAFC" w14:textId="1019636D" w:rsidR="003D3BF1" w:rsidRPr="00286C15" w:rsidRDefault="00CE0A35" w:rsidP="00E10F0C">
      <w:pPr>
        <w:spacing w:after="240" w:line="240" w:lineRule="auto"/>
        <w:jc w:val="both"/>
        <w:rPr>
          <w:i/>
          <w:iCs/>
        </w:rPr>
      </w:pPr>
      <w:r>
        <w:rPr>
          <w:rFonts w:ascii="Calibri" w:hAnsi="Calibri"/>
          <w:bCs/>
        </w:rPr>
        <w:t xml:space="preserve">Ms Fiona O’Dea of </w:t>
      </w:r>
      <w:r w:rsidR="00B51C3E" w:rsidRPr="00010EF6">
        <w:rPr>
          <w:rFonts w:ascii="Calibri" w:hAnsi="Calibri"/>
          <w:bCs/>
        </w:rPr>
        <w:t>DETE provide</w:t>
      </w:r>
      <w:r w:rsidR="003D3BF1">
        <w:rPr>
          <w:rFonts w:ascii="Calibri" w:hAnsi="Calibri"/>
          <w:bCs/>
        </w:rPr>
        <w:t>d</w:t>
      </w:r>
      <w:r w:rsidR="00B51C3E" w:rsidRPr="00010EF6">
        <w:rPr>
          <w:rFonts w:ascii="Calibri" w:hAnsi="Calibri"/>
          <w:bCs/>
        </w:rPr>
        <w:t xml:space="preserve"> an update on </w:t>
      </w:r>
      <w:r w:rsidR="003D3BF1">
        <w:rPr>
          <w:rFonts w:ascii="Calibri" w:hAnsi="Calibri"/>
          <w:bCs/>
        </w:rPr>
        <w:t xml:space="preserve">the </w:t>
      </w:r>
      <w:r w:rsidR="003D3BF1" w:rsidRPr="003D3BF1">
        <w:t>Companies (Corporate Enforcement Authority) Act 2021</w:t>
      </w:r>
      <w:r w:rsidR="003D3BF1">
        <w:t xml:space="preserve"> (CEA). </w:t>
      </w:r>
      <w:r w:rsidR="00300743">
        <w:t>The t</w:t>
      </w:r>
      <w:r w:rsidR="00300743" w:rsidRPr="003D3BF1">
        <w:t xml:space="preserve">imeframe </w:t>
      </w:r>
      <w:r w:rsidR="00300743">
        <w:t xml:space="preserve">for </w:t>
      </w:r>
      <w:r w:rsidR="00300743" w:rsidRPr="00E10F0C">
        <w:rPr>
          <w:bCs/>
        </w:rPr>
        <w:t>commencement</w:t>
      </w:r>
      <w:r w:rsidR="00300743">
        <w:t xml:space="preserve"> </w:t>
      </w:r>
      <w:r w:rsidR="003D3BF1" w:rsidRPr="00286C15">
        <w:t xml:space="preserve">and </w:t>
      </w:r>
      <w:r w:rsidR="00300743">
        <w:t xml:space="preserve">to </w:t>
      </w:r>
      <w:r w:rsidR="003D3BF1" w:rsidRPr="00E10F0C">
        <w:rPr>
          <w:rFonts w:cstheme="minorHAnsi"/>
        </w:rPr>
        <w:t>provide</w:t>
      </w:r>
      <w:r w:rsidR="003D3BF1" w:rsidRPr="00286C15">
        <w:t xml:space="preserve"> for an establishment day for the Authority</w:t>
      </w:r>
      <w:r w:rsidR="00300743">
        <w:t xml:space="preserve"> </w:t>
      </w:r>
      <w:r w:rsidR="003D3BF1" w:rsidRPr="003D3BF1">
        <w:t xml:space="preserve">is still to be </w:t>
      </w:r>
      <w:proofErr w:type="gramStart"/>
      <w:r w:rsidR="003D3BF1" w:rsidRPr="003D3BF1">
        <w:t>confirmed, but</w:t>
      </w:r>
      <w:proofErr w:type="gramEnd"/>
      <w:r w:rsidR="003D3BF1" w:rsidRPr="003D3BF1">
        <w:t xml:space="preserve"> </w:t>
      </w:r>
      <w:r w:rsidR="00300743">
        <w:t xml:space="preserve">is likely to be in </w:t>
      </w:r>
      <w:r w:rsidR="003D3BF1">
        <w:t xml:space="preserve">the </w:t>
      </w:r>
      <w:r w:rsidR="003D3BF1" w:rsidRPr="003D3BF1">
        <w:t>coming weeks.</w:t>
      </w:r>
    </w:p>
    <w:p w14:paraId="2F0F2637" w14:textId="4751CBE7" w:rsidR="00B51C3E" w:rsidRPr="00010EF6" w:rsidRDefault="00B51C3E" w:rsidP="00D24228">
      <w:pPr>
        <w:pStyle w:val="ListParagraph"/>
        <w:numPr>
          <w:ilvl w:val="0"/>
          <w:numId w:val="4"/>
        </w:numPr>
        <w:spacing w:before="480" w:after="240" w:line="240" w:lineRule="auto"/>
        <w:ind w:left="426" w:hanging="426"/>
        <w:contextualSpacing w:val="0"/>
        <w:jc w:val="both"/>
        <w:rPr>
          <w:rFonts w:asciiTheme="minorHAnsi" w:hAnsiTheme="minorHAnsi" w:cstheme="minorHAnsi"/>
          <w:b/>
          <w:bCs/>
        </w:rPr>
      </w:pPr>
      <w:r w:rsidRPr="00C47CFC">
        <w:rPr>
          <w:b/>
          <w:bCs/>
        </w:rPr>
        <w:t>Upcoming</w:t>
      </w:r>
      <w:r w:rsidRPr="00010EF6">
        <w:rPr>
          <w:rFonts w:asciiTheme="minorHAnsi" w:hAnsiTheme="minorHAnsi" w:cstheme="minorHAnsi"/>
          <w:b/>
          <w:bCs/>
        </w:rPr>
        <w:t xml:space="preserve"> EU and Irish company law </w:t>
      </w:r>
    </w:p>
    <w:p w14:paraId="7339E5F7" w14:textId="3C52AC7C" w:rsidR="00B51C3E" w:rsidRDefault="00CE0A35" w:rsidP="00E10F0C">
      <w:pPr>
        <w:spacing w:after="240" w:line="240" w:lineRule="auto"/>
        <w:jc w:val="both"/>
        <w:rPr>
          <w:rFonts w:cstheme="minorHAnsi"/>
          <w:lang w:eastAsia="en-IE"/>
        </w:rPr>
      </w:pPr>
      <w:r>
        <w:rPr>
          <w:rFonts w:ascii="Calibri" w:hAnsi="Calibri"/>
          <w:bCs/>
        </w:rPr>
        <w:t xml:space="preserve">Ms Fiona O’Dea of </w:t>
      </w:r>
      <w:r w:rsidR="00C9533F">
        <w:rPr>
          <w:rFonts w:cstheme="minorHAnsi"/>
          <w:lang w:eastAsia="en-IE"/>
        </w:rPr>
        <w:t xml:space="preserve">DETE </w:t>
      </w:r>
      <w:r w:rsidR="00473209">
        <w:rPr>
          <w:rFonts w:cstheme="minorHAnsi"/>
          <w:lang w:eastAsia="en-IE"/>
        </w:rPr>
        <w:t>updated the group on legislative developments, namely:</w:t>
      </w:r>
    </w:p>
    <w:p w14:paraId="6FD4D8A8" w14:textId="67B203B0" w:rsidR="00473209" w:rsidRPr="00286C15" w:rsidRDefault="00473209" w:rsidP="00713EB9">
      <w:pPr>
        <w:pStyle w:val="ListParagraph"/>
        <w:numPr>
          <w:ilvl w:val="0"/>
          <w:numId w:val="7"/>
        </w:numPr>
      </w:pPr>
      <w:r w:rsidRPr="00286C15">
        <w:t xml:space="preserve">A General Scheme </w:t>
      </w:r>
      <w:r>
        <w:t xml:space="preserve">for </w:t>
      </w:r>
      <w:r w:rsidR="00CE0A35">
        <w:t xml:space="preserve">a </w:t>
      </w:r>
      <w:r w:rsidRPr="00713EB9">
        <w:rPr>
          <w:b/>
          <w:bCs/>
        </w:rPr>
        <w:t xml:space="preserve">Limited Partnerships </w:t>
      </w:r>
      <w:r w:rsidR="00CE0A35">
        <w:rPr>
          <w:b/>
          <w:bCs/>
        </w:rPr>
        <w:t xml:space="preserve">Bill, </w:t>
      </w:r>
      <w:r w:rsidR="0095515F" w:rsidRPr="0095515F">
        <w:t>to replace the 1907 Act</w:t>
      </w:r>
      <w:r w:rsidR="00CE0A35">
        <w:t>,</w:t>
      </w:r>
      <w:r w:rsidR="0095515F" w:rsidRPr="00713EB9">
        <w:rPr>
          <w:b/>
          <w:bCs/>
        </w:rPr>
        <w:t xml:space="preserve"> </w:t>
      </w:r>
      <w:r w:rsidRPr="00286C15">
        <w:t xml:space="preserve">is being worked on </w:t>
      </w:r>
      <w:r w:rsidR="0095515F" w:rsidRPr="00286C15">
        <w:t xml:space="preserve">to incorporate issues raised </w:t>
      </w:r>
      <w:proofErr w:type="gramStart"/>
      <w:r w:rsidR="0095515F" w:rsidRPr="00286C15">
        <w:t>in light of</w:t>
      </w:r>
      <w:proofErr w:type="gramEnd"/>
      <w:r w:rsidR="0095515F" w:rsidRPr="00286C15">
        <w:t xml:space="preserve"> the media coverage around the Pandora Papers</w:t>
      </w:r>
      <w:r w:rsidRPr="00286C15">
        <w:t>.</w:t>
      </w:r>
    </w:p>
    <w:p w14:paraId="3AED2F58" w14:textId="3A1AD157" w:rsidR="00473209" w:rsidRPr="00286C15" w:rsidRDefault="0095515F" w:rsidP="00713EB9">
      <w:pPr>
        <w:pStyle w:val="ListParagraph"/>
        <w:numPr>
          <w:ilvl w:val="0"/>
          <w:numId w:val="7"/>
        </w:numPr>
      </w:pPr>
      <w:r>
        <w:t>W</w:t>
      </w:r>
      <w:r w:rsidRPr="00286C15">
        <w:t xml:space="preserve">ork </w:t>
      </w:r>
      <w:proofErr w:type="gramStart"/>
      <w:r w:rsidRPr="00286C15">
        <w:t>continues on</w:t>
      </w:r>
      <w:proofErr w:type="gramEnd"/>
      <w:r w:rsidRPr="00286C15">
        <w:t xml:space="preserve"> </w:t>
      </w:r>
      <w:r>
        <w:t xml:space="preserve">the drafting of the </w:t>
      </w:r>
      <w:r w:rsidR="00CE0A35">
        <w:t xml:space="preserve">General Scheme of a </w:t>
      </w:r>
      <w:r w:rsidR="00CE0A35" w:rsidRPr="00713EB9">
        <w:rPr>
          <w:b/>
          <w:bCs/>
        </w:rPr>
        <w:t>Regist</w:t>
      </w:r>
      <w:r w:rsidR="00CE0A35">
        <w:rPr>
          <w:b/>
          <w:bCs/>
        </w:rPr>
        <w:t xml:space="preserve">ration </w:t>
      </w:r>
      <w:r w:rsidR="00473209" w:rsidRPr="00713EB9">
        <w:rPr>
          <w:b/>
          <w:bCs/>
        </w:rPr>
        <w:t xml:space="preserve">of Business Names </w:t>
      </w:r>
      <w:r w:rsidR="00CE0A35">
        <w:rPr>
          <w:b/>
          <w:bCs/>
        </w:rPr>
        <w:t xml:space="preserve">Bill </w:t>
      </w:r>
      <w:r w:rsidR="00473209" w:rsidRPr="00286C15">
        <w:t>to replace 1963 Act. The Department is liaising with the CRO with a view to finalising the scheme later in 2022.</w:t>
      </w:r>
    </w:p>
    <w:p w14:paraId="1B522562" w14:textId="03EBEA9F" w:rsidR="00473209" w:rsidRPr="002F0A99" w:rsidRDefault="0095515F" w:rsidP="00713EB9">
      <w:pPr>
        <w:pStyle w:val="ListParagraph"/>
        <w:numPr>
          <w:ilvl w:val="0"/>
          <w:numId w:val="7"/>
        </w:numPr>
      </w:pPr>
      <w:r w:rsidRPr="002F0A99">
        <w:lastRenderedPageBreak/>
        <w:t>A scoping exercise of legislative proposals is currently underway</w:t>
      </w:r>
      <w:r w:rsidRPr="00713EB9">
        <w:rPr>
          <w:b/>
          <w:bCs/>
        </w:rPr>
        <w:t xml:space="preserve"> </w:t>
      </w:r>
      <w:r w:rsidRPr="002F0A99">
        <w:t xml:space="preserve">for </w:t>
      </w:r>
      <w:r w:rsidR="0004121C">
        <w:rPr>
          <w:b/>
          <w:bCs/>
        </w:rPr>
        <w:t>a</w:t>
      </w:r>
      <w:r w:rsidR="00CE0A35">
        <w:rPr>
          <w:b/>
          <w:bCs/>
        </w:rPr>
        <w:t xml:space="preserve"> </w:t>
      </w:r>
      <w:r w:rsidR="0004121C">
        <w:rPr>
          <w:b/>
          <w:bCs/>
        </w:rPr>
        <w:t xml:space="preserve">proposed General </w:t>
      </w:r>
      <w:r w:rsidR="00473209" w:rsidRPr="00713EB9">
        <w:rPr>
          <w:b/>
          <w:bCs/>
        </w:rPr>
        <w:t xml:space="preserve">Scheme of </w:t>
      </w:r>
      <w:r w:rsidR="00CE0A35">
        <w:rPr>
          <w:b/>
          <w:bCs/>
        </w:rPr>
        <w:t xml:space="preserve">a </w:t>
      </w:r>
      <w:r w:rsidR="00473209" w:rsidRPr="00713EB9">
        <w:rPr>
          <w:b/>
          <w:bCs/>
        </w:rPr>
        <w:t>Companies (</w:t>
      </w:r>
      <w:r w:rsidRPr="00713EB9">
        <w:rPr>
          <w:b/>
          <w:bCs/>
        </w:rPr>
        <w:t xml:space="preserve">Miscellaneous </w:t>
      </w:r>
      <w:r w:rsidR="00473209" w:rsidRPr="00713EB9">
        <w:rPr>
          <w:b/>
          <w:bCs/>
        </w:rPr>
        <w:t>Provisions) Bill</w:t>
      </w:r>
      <w:r w:rsidR="00473209" w:rsidRPr="002F0A99">
        <w:t xml:space="preserve">. </w:t>
      </w:r>
    </w:p>
    <w:p w14:paraId="40EEAF76" w14:textId="43578F87" w:rsidR="00473209" w:rsidRPr="00286C15" w:rsidRDefault="00384B1C" w:rsidP="00713EB9">
      <w:pPr>
        <w:pStyle w:val="ListParagraph"/>
        <w:numPr>
          <w:ilvl w:val="0"/>
          <w:numId w:val="7"/>
        </w:numPr>
      </w:pPr>
      <w:r>
        <w:t xml:space="preserve">Work is underway on both the regulations for the </w:t>
      </w:r>
      <w:r w:rsidR="002F0A99" w:rsidRPr="00713EB9">
        <w:rPr>
          <w:b/>
          <w:bCs/>
        </w:rPr>
        <w:t>t</w:t>
      </w:r>
      <w:r w:rsidR="00473209" w:rsidRPr="00713EB9">
        <w:rPr>
          <w:b/>
          <w:bCs/>
        </w:rPr>
        <w:t>ransposition of Cross Border Mergers, Conversions and Divisions Directive</w:t>
      </w:r>
      <w:r w:rsidR="001D6D01">
        <w:rPr>
          <w:b/>
          <w:bCs/>
        </w:rPr>
        <w:t xml:space="preserve"> (EU) 2019/2121</w:t>
      </w:r>
      <w:r w:rsidR="00473209" w:rsidRPr="00713EB9">
        <w:rPr>
          <w:b/>
          <w:bCs/>
        </w:rPr>
        <w:t xml:space="preserve"> </w:t>
      </w:r>
      <w:r>
        <w:t xml:space="preserve">as well as the </w:t>
      </w:r>
      <w:r w:rsidR="00473209" w:rsidRPr="00286C15">
        <w:t>Rules of the Superior Courts and the CRO in relation to Forms. Transposition deadline is 31 January 2023.</w:t>
      </w:r>
    </w:p>
    <w:p w14:paraId="40FE40F1" w14:textId="331B844A" w:rsidR="00473209" w:rsidRPr="00286C15" w:rsidRDefault="00384B1C" w:rsidP="00713EB9">
      <w:pPr>
        <w:pStyle w:val="ListParagraph"/>
        <w:numPr>
          <w:ilvl w:val="0"/>
          <w:numId w:val="7"/>
        </w:numPr>
      </w:pPr>
      <w:r w:rsidRPr="00384B1C">
        <w:t>The public consultation</w:t>
      </w:r>
      <w:r w:rsidRPr="00286C15">
        <w:t xml:space="preserve"> </w:t>
      </w:r>
      <w:r>
        <w:t xml:space="preserve">on the </w:t>
      </w:r>
      <w:r w:rsidR="00473209" w:rsidRPr="00713EB9">
        <w:rPr>
          <w:b/>
          <w:bCs/>
        </w:rPr>
        <w:t xml:space="preserve">Transposition of </w:t>
      </w:r>
      <w:r w:rsidR="0004121C">
        <w:rPr>
          <w:b/>
          <w:bCs/>
        </w:rPr>
        <w:t>P</w:t>
      </w:r>
      <w:r w:rsidR="00473209" w:rsidRPr="00713EB9">
        <w:rPr>
          <w:b/>
          <w:bCs/>
        </w:rPr>
        <w:t>ublic Country by Country Reporting Directive</w:t>
      </w:r>
      <w:r w:rsidR="00473209" w:rsidRPr="00286C15">
        <w:t xml:space="preserve"> </w:t>
      </w:r>
      <w:r w:rsidR="001D6D01" w:rsidRPr="001D6D01">
        <w:rPr>
          <w:b/>
          <w:bCs/>
        </w:rPr>
        <w:t xml:space="preserve">(EU)2021/2101 </w:t>
      </w:r>
      <w:r w:rsidR="00473209" w:rsidRPr="00286C15">
        <w:t xml:space="preserve">closed in February with </w:t>
      </w:r>
      <w:proofErr w:type="gramStart"/>
      <w:r w:rsidR="00473209" w:rsidRPr="00286C15">
        <w:t>the majority of</w:t>
      </w:r>
      <w:proofErr w:type="gramEnd"/>
      <w:r w:rsidR="00473209" w:rsidRPr="00286C15">
        <w:t xml:space="preserve"> respondents supporting adoption.  </w:t>
      </w:r>
      <w:r>
        <w:t>The report was submitted to the Minister</w:t>
      </w:r>
      <w:r w:rsidR="00473209" w:rsidRPr="00286C15">
        <w:t xml:space="preserve">. Transposition deadline is 22 June 2023. </w:t>
      </w:r>
    </w:p>
    <w:p w14:paraId="3FD6ED53" w14:textId="491861E5" w:rsidR="00473209" w:rsidRPr="00713EB9" w:rsidRDefault="00384B1C" w:rsidP="00713EB9">
      <w:pPr>
        <w:pStyle w:val="ListParagraph"/>
        <w:numPr>
          <w:ilvl w:val="0"/>
          <w:numId w:val="7"/>
        </w:numPr>
        <w:rPr>
          <w:i/>
          <w:iCs/>
        </w:rPr>
      </w:pPr>
      <w:r>
        <w:t xml:space="preserve">On the </w:t>
      </w:r>
      <w:r w:rsidR="00473209" w:rsidRPr="00713EB9">
        <w:rPr>
          <w:b/>
          <w:bCs/>
        </w:rPr>
        <w:t>Negotiation of a Directive on Corporate Sustainability Reporting</w:t>
      </w:r>
      <w:r>
        <w:t>,</w:t>
      </w:r>
      <w:r w:rsidR="00473209" w:rsidRPr="00286C15">
        <w:t xml:space="preserve"> </w:t>
      </w:r>
      <w:r>
        <w:t xml:space="preserve">the European </w:t>
      </w:r>
      <w:r w:rsidR="00473209" w:rsidRPr="0047751C">
        <w:t xml:space="preserve">Council reached </w:t>
      </w:r>
      <w:r w:rsidR="00713EB9">
        <w:t xml:space="preserve">a </w:t>
      </w:r>
      <w:r w:rsidR="00473209" w:rsidRPr="0047751C">
        <w:t xml:space="preserve">general approach in February 2022. </w:t>
      </w:r>
      <w:r w:rsidR="00473209">
        <w:t>Tri</w:t>
      </w:r>
      <w:r w:rsidR="00723301">
        <w:t>a</w:t>
      </w:r>
      <w:r w:rsidR="00473209">
        <w:t xml:space="preserve">logues are taking place throughout May. </w:t>
      </w:r>
    </w:p>
    <w:p w14:paraId="3BA69A90" w14:textId="5612F9A0" w:rsidR="00473209" w:rsidRPr="00286C15" w:rsidRDefault="00473209" w:rsidP="00713EB9">
      <w:pPr>
        <w:pStyle w:val="ListParagraph"/>
        <w:numPr>
          <w:ilvl w:val="0"/>
          <w:numId w:val="7"/>
        </w:numPr>
        <w:spacing w:after="240"/>
      </w:pPr>
      <w:r w:rsidRPr="00713EB9">
        <w:rPr>
          <w:b/>
          <w:bCs/>
        </w:rPr>
        <w:t>A proposal for a Directive on Corporate Sustainability Due Diligence (CSDD)</w:t>
      </w:r>
      <w:r w:rsidRPr="00286C15">
        <w:t xml:space="preserve"> was published by the European Commission on 23rd February 2022</w:t>
      </w:r>
      <w:r w:rsidR="00384B1C">
        <w:t>.</w:t>
      </w:r>
      <w:r w:rsidRPr="00286C15">
        <w:t xml:space="preserve"> The Department is engaging at EU working party level to clarify the practical implications for stakeholders.  </w:t>
      </w:r>
      <w:r w:rsidR="00384B1C">
        <w:t>N</w:t>
      </w:r>
      <w:r w:rsidRPr="00286C15">
        <w:t xml:space="preserve">egotiations at EU level may well continue into 2023. </w:t>
      </w:r>
      <w:r w:rsidR="00713EB9" w:rsidRPr="00286C15">
        <w:t>The Department has begun a process of engagement with key stakeholders and intends on conducting a public consultation on the proposals in due course to help inform government's position.</w:t>
      </w:r>
    </w:p>
    <w:p w14:paraId="01845212" w14:textId="64DA9483" w:rsidR="00473209" w:rsidRPr="00286C15" w:rsidRDefault="00713EB9" w:rsidP="00713EB9">
      <w:pPr>
        <w:pStyle w:val="ListParagraph"/>
        <w:numPr>
          <w:ilvl w:val="0"/>
          <w:numId w:val="7"/>
        </w:numPr>
      </w:pPr>
      <w:r>
        <w:t xml:space="preserve">The Department is </w:t>
      </w:r>
      <w:r w:rsidRPr="00286C15">
        <w:t>finalising a proposed policy response to the issues raised</w:t>
      </w:r>
      <w:r w:rsidRPr="00713EB9">
        <w:rPr>
          <w:b/>
          <w:bCs/>
        </w:rPr>
        <w:t xml:space="preserve"> </w:t>
      </w:r>
      <w:r w:rsidRPr="00713EB9">
        <w:t>in the public consultation on</w:t>
      </w:r>
      <w:r>
        <w:rPr>
          <w:b/>
          <w:bCs/>
        </w:rPr>
        <w:t xml:space="preserve"> </w:t>
      </w:r>
      <w:r w:rsidR="00473209" w:rsidRPr="00713EB9">
        <w:rPr>
          <w:b/>
          <w:bCs/>
        </w:rPr>
        <w:t xml:space="preserve">Proposed Co-operative </w:t>
      </w:r>
      <w:r w:rsidR="00E71068">
        <w:rPr>
          <w:b/>
          <w:bCs/>
        </w:rPr>
        <w:t>S</w:t>
      </w:r>
      <w:r w:rsidR="00473209" w:rsidRPr="00713EB9">
        <w:rPr>
          <w:b/>
          <w:bCs/>
        </w:rPr>
        <w:t>ocieties legislation</w:t>
      </w:r>
      <w:r w:rsidR="00473209" w:rsidRPr="00286C15">
        <w:t xml:space="preserve">. </w:t>
      </w:r>
      <w:r w:rsidRPr="00286C15">
        <w:t xml:space="preserve">It is envisaged that </w:t>
      </w:r>
      <w:r>
        <w:t xml:space="preserve">the </w:t>
      </w:r>
      <w:r w:rsidRPr="00286C15">
        <w:t>General Scheme will be brought to Government in Q2 2022.</w:t>
      </w:r>
    </w:p>
    <w:p w14:paraId="04102262" w14:textId="2648140F" w:rsidR="00473209" w:rsidRPr="00713EB9" w:rsidRDefault="00713EB9" w:rsidP="00713EB9">
      <w:pPr>
        <w:pStyle w:val="ListParagraph"/>
        <w:numPr>
          <w:ilvl w:val="0"/>
          <w:numId w:val="7"/>
        </w:numPr>
        <w:rPr>
          <w:color w:val="FF0000"/>
        </w:rPr>
      </w:pPr>
      <w:r w:rsidRPr="00286C15">
        <w:t xml:space="preserve">Draft Regulations are well advanced </w:t>
      </w:r>
      <w:r w:rsidR="001D6D01">
        <w:t xml:space="preserve">to transpose the mandatory provisions of </w:t>
      </w:r>
      <w:r>
        <w:t xml:space="preserve">the </w:t>
      </w:r>
      <w:r w:rsidR="00473209" w:rsidRPr="00713EB9">
        <w:rPr>
          <w:b/>
          <w:bCs/>
        </w:rPr>
        <w:t>Preventive Restructuring Directive</w:t>
      </w:r>
      <w:r w:rsidR="001D6D01" w:rsidRPr="001D6D01">
        <w:t xml:space="preserve"> </w:t>
      </w:r>
      <w:r w:rsidR="001D6D01" w:rsidRPr="001D6D01">
        <w:rPr>
          <w:b/>
          <w:bCs/>
        </w:rPr>
        <w:t>(EU) 2019/1023</w:t>
      </w:r>
      <w:r>
        <w:rPr>
          <w:b/>
          <w:bCs/>
        </w:rPr>
        <w:t>.</w:t>
      </w:r>
    </w:p>
    <w:p w14:paraId="7B30DC89" w14:textId="1A06C319" w:rsidR="00B51C3E" w:rsidRPr="009108AA" w:rsidRDefault="00B51C3E" w:rsidP="00D24228">
      <w:pPr>
        <w:pStyle w:val="ListParagraph"/>
        <w:numPr>
          <w:ilvl w:val="0"/>
          <w:numId w:val="4"/>
        </w:numPr>
        <w:spacing w:before="480" w:after="240" w:line="240" w:lineRule="auto"/>
        <w:ind w:left="426" w:hanging="426"/>
        <w:contextualSpacing w:val="0"/>
        <w:jc w:val="both"/>
        <w:rPr>
          <w:rFonts w:asciiTheme="minorHAnsi" w:hAnsiTheme="minorHAnsi" w:cstheme="minorHAnsi"/>
          <w:b/>
          <w:bCs/>
        </w:rPr>
      </w:pPr>
      <w:r w:rsidRPr="00C47CFC">
        <w:rPr>
          <w:b/>
          <w:bCs/>
        </w:rPr>
        <w:t>Update</w:t>
      </w:r>
      <w:r w:rsidRPr="00010EF6">
        <w:rPr>
          <w:rFonts w:asciiTheme="minorHAnsi" w:hAnsiTheme="minorHAnsi" w:cstheme="minorHAnsi"/>
          <w:b/>
          <w:bCs/>
        </w:rPr>
        <w:t xml:space="preserve"> on </w:t>
      </w:r>
      <w:r w:rsidRPr="00D24228">
        <w:rPr>
          <w:b/>
          <w:bCs/>
        </w:rPr>
        <w:t>applications</w:t>
      </w:r>
      <w:r w:rsidRPr="008A790E">
        <w:rPr>
          <w:rFonts w:asciiTheme="minorHAnsi" w:hAnsiTheme="minorHAnsi" w:cstheme="minorHAnsi"/>
          <w:b/>
          <w:bCs/>
        </w:rPr>
        <w:t xml:space="preserve"> for membership </w:t>
      </w:r>
    </w:p>
    <w:p w14:paraId="1C89691C" w14:textId="5A965A51" w:rsidR="00B51C3E" w:rsidRDefault="00C9533F" w:rsidP="00E10F0C">
      <w:pPr>
        <w:spacing w:after="240" w:line="240" w:lineRule="auto"/>
        <w:jc w:val="both"/>
      </w:pPr>
      <w:r>
        <w:t xml:space="preserve">The </w:t>
      </w:r>
      <w:r w:rsidR="00B51C3E" w:rsidRPr="009108AA">
        <w:t>Secretary provide</w:t>
      </w:r>
      <w:r w:rsidR="008F3141">
        <w:t>d</w:t>
      </w:r>
      <w:r w:rsidR="00B51C3E" w:rsidRPr="009108AA">
        <w:t xml:space="preserve"> a brief </w:t>
      </w:r>
      <w:r w:rsidR="00B51C3E" w:rsidRPr="00E10F0C">
        <w:rPr>
          <w:rFonts w:cstheme="minorHAnsi"/>
        </w:rPr>
        <w:t>update</w:t>
      </w:r>
      <w:r w:rsidR="00B51C3E" w:rsidRPr="009108AA">
        <w:t xml:space="preserve"> on the </w:t>
      </w:r>
      <w:r w:rsidR="00BC049F">
        <w:t xml:space="preserve">progress of the </w:t>
      </w:r>
      <w:r w:rsidR="00B51C3E">
        <w:t xml:space="preserve">appointment process for the </w:t>
      </w:r>
      <w:r w:rsidR="00B51C3E" w:rsidRPr="009108AA">
        <w:t>new membership</w:t>
      </w:r>
      <w:r w:rsidR="00BC049F">
        <w:t xml:space="preserve"> </w:t>
      </w:r>
      <w:r w:rsidR="001D6D01">
        <w:t xml:space="preserve">of the Review Group, </w:t>
      </w:r>
      <w:r w:rsidR="00BC049F">
        <w:t xml:space="preserve">which </w:t>
      </w:r>
      <w:r w:rsidR="003B6B8E">
        <w:t xml:space="preserve">is intended to </w:t>
      </w:r>
      <w:r w:rsidR="00BC049F">
        <w:t xml:space="preserve">be </w:t>
      </w:r>
      <w:r w:rsidR="00BC049F" w:rsidRPr="00E10F0C">
        <w:rPr>
          <w:bCs/>
        </w:rPr>
        <w:t>finalised</w:t>
      </w:r>
      <w:r w:rsidR="00BC049F">
        <w:t xml:space="preserve"> by end June</w:t>
      </w:r>
      <w:r w:rsidR="00B51C3E">
        <w:t>.</w:t>
      </w:r>
    </w:p>
    <w:p w14:paraId="15A52D72" w14:textId="7ED9AB6C" w:rsidR="003B0496" w:rsidRPr="00E6344F" w:rsidRDefault="003B0496" w:rsidP="00E10F0C">
      <w:pPr>
        <w:spacing w:after="240" w:line="240" w:lineRule="auto"/>
        <w:jc w:val="both"/>
      </w:pPr>
      <w:r>
        <w:t xml:space="preserve">The Chair noted that this is the last meeting for some of the </w:t>
      </w:r>
      <w:r w:rsidRPr="00E10F0C">
        <w:rPr>
          <w:rFonts w:cstheme="minorHAnsi"/>
        </w:rPr>
        <w:t>members</w:t>
      </w:r>
      <w:r>
        <w:t xml:space="preserve">, and thanked Vincent Madigan and Maura Quinn who have indicated that they will not be </w:t>
      </w:r>
      <w:r w:rsidRPr="00E10F0C">
        <w:rPr>
          <w:bCs/>
        </w:rPr>
        <w:t>looking</w:t>
      </w:r>
      <w:r w:rsidR="00111C67">
        <w:t xml:space="preserve"> to be reappointed</w:t>
      </w:r>
      <w:r>
        <w:t>. Many members thanked Vincent</w:t>
      </w:r>
      <w:r w:rsidR="00111C67">
        <w:t>, founding member of the CLRG in 2000,</w:t>
      </w:r>
      <w:r>
        <w:t xml:space="preserve"> for his many years of commitment to the CLRG. </w:t>
      </w:r>
    </w:p>
    <w:p w14:paraId="264A35FA" w14:textId="77777777" w:rsidR="00B51C3E" w:rsidRPr="00D24228" w:rsidRDefault="00B51C3E" w:rsidP="00D24228">
      <w:pPr>
        <w:pStyle w:val="ListParagraph"/>
        <w:numPr>
          <w:ilvl w:val="0"/>
          <w:numId w:val="4"/>
        </w:numPr>
        <w:spacing w:before="480" w:after="240" w:line="240" w:lineRule="auto"/>
        <w:ind w:left="426" w:hanging="426"/>
        <w:contextualSpacing w:val="0"/>
        <w:jc w:val="both"/>
        <w:rPr>
          <w:b/>
          <w:bCs/>
        </w:rPr>
      </w:pPr>
      <w:r w:rsidRPr="00D24228">
        <w:rPr>
          <w:b/>
          <w:bCs/>
        </w:rPr>
        <w:t xml:space="preserve">Matters arising from </w:t>
      </w:r>
      <w:proofErr w:type="gramStart"/>
      <w:r w:rsidRPr="00D24228">
        <w:rPr>
          <w:b/>
          <w:bCs/>
        </w:rPr>
        <w:t>practice</w:t>
      </w:r>
      <w:proofErr w:type="gramEnd"/>
    </w:p>
    <w:p w14:paraId="70995F17" w14:textId="363659C4" w:rsidR="00506248" w:rsidRDefault="00C9533F" w:rsidP="00E10F0C">
      <w:pPr>
        <w:spacing w:after="240" w:line="240" w:lineRule="auto"/>
        <w:jc w:val="both"/>
        <w:rPr>
          <w:rFonts w:cstheme="minorHAnsi"/>
          <w:bCs/>
        </w:rPr>
      </w:pPr>
      <w:r>
        <w:rPr>
          <w:rFonts w:cstheme="minorHAnsi"/>
          <w:bCs/>
        </w:rPr>
        <w:t xml:space="preserve">The </w:t>
      </w:r>
      <w:r w:rsidR="00B51C3E" w:rsidRPr="00FA7608">
        <w:rPr>
          <w:rFonts w:cstheme="minorHAnsi"/>
          <w:bCs/>
        </w:rPr>
        <w:t>CRO Registrar</w:t>
      </w:r>
      <w:r w:rsidR="00506248">
        <w:rPr>
          <w:rFonts w:cstheme="minorHAnsi"/>
          <w:bCs/>
        </w:rPr>
        <w:t>, Maureen O’Sullivan,</w:t>
      </w:r>
      <w:r w:rsidR="00B51C3E" w:rsidRPr="00FA7608">
        <w:rPr>
          <w:rFonts w:cstheme="minorHAnsi"/>
          <w:bCs/>
        </w:rPr>
        <w:t xml:space="preserve"> </w:t>
      </w:r>
      <w:r w:rsidR="00D06189">
        <w:rPr>
          <w:rFonts w:cstheme="minorHAnsi"/>
          <w:bCs/>
        </w:rPr>
        <w:t xml:space="preserve">updated </w:t>
      </w:r>
      <w:r w:rsidR="00B11675">
        <w:rPr>
          <w:rFonts w:cstheme="minorHAnsi"/>
          <w:bCs/>
        </w:rPr>
        <w:t xml:space="preserve">the group </w:t>
      </w:r>
      <w:r w:rsidR="00D06189">
        <w:rPr>
          <w:rFonts w:cstheme="minorHAnsi"/>
          <w:bCs/>
        </w:rPr>
        <w:t xml:space="preserve">on </w:t>
      </w:r>
      <w:proofErr w:type="gramStart"/>
      <w:r w:rsidR="00D06189">
        <w:rPr>
          <w:rFonts w:cstheme="minorHAnsi"/>
          <w:bCs/>
        </w:rPr>
        <w:t>a number of</w:t>
      </w:r>
      <w:proofErr w:type="gramEnd"/>
      <w:r w:rsidR="00D06189">
        <w:rPr>
          <w:rFonts w:cstheme="minorHAnsi"/>
          <w:bCs/>
        </w:rPr>
        <w:t xml:space="preserve"> issues</w:t>
      </w:r>
      <w:r>
        <w:rPr>
          <w:rFonts w:cstheme="minorHAnsi"/>
          <w:bCs/>
        </w:rPr>
        <w:t xml:space="preserve">: </w:t>
      </w:r>
    </w:p>
    <w:p w14:paraId="07DE0923" w14:textId="1F1A2485" w:rsidR="00506248" w:rsidRDefault="00506248" w:rsidP="00506248">
      <w:pPr>
        <w:pStyle w:val="ListParagraph"/>
        <w:numPr>
          <w:ilvl w:val="0"/>
          <w:numId w:val="7"/>
        </w:numPr>
      </w:pPr>
      <w:r>
        <w:t>T</w:t>
      </w:r>
      <w:r w:rsidRPr="00506248">
        <w:t xml:space="preserve">he </w:t>
      </w:r>
      <w:r w:rsidR="00B11675" w:rsidRPr="00506248">
        <w:t xml:space="preserve">CRO IT system </w:t>
      </w:r>
      <w:r w:rsidR="003D49BD">
        <w:t xml:space="preserve">was </w:t>
      </w:r>
      <w:r w:rsidR="00B11675" w:rsidRPr="00506248">
        <w:t>upgrade</w:t>
      </w:r>
      <w:r w:rsidR="00CA1E5D" w:rsidRPr="00506248">
        <w:t>d</w:t>
      </w:r>
      <w:r w:rsidR="003D49BD">
        <w:t xml:space="preserve"> </w:t>
      </w:r>
      <w:r w:rsidR="003D49BD" w:rsidRPr="003D49BD">
        <w:t>just before Easter and some additional functionality is now available including the ability to save draft submissions and reorder the watchlist which were requested by presenters</w:t>
      </w:r>
      <w:r>
        <w:t>.</w:t>
      </w:r>
      <w:r w:rsidR="001723FD" w:rsidRPr="00506248">
        <w:t xml:space="preserve"> </w:t>
      </w:r>
    </w:p>
    <w:p w14:paraId="0F0C07D1" w14:textId="48F7B3C5" w:rsidR="00506248" w:rsidRDefault="00506248" w:rsidP="00506248">
      <w:pPr>
        <w:pStyle w:val="ListParagraph"/>
        <w:numPr>
          <w:ilvl w:val="0"/>
          <w:numId w:val="7"/>
        </w:numPr>
      </w:pPr>
      <w:r>
        <w:t>T</w:t>
      </w:r>
      <w:r w:rsidRPr="00506248">
        <w:t xml:space="preserve">he </w:t>
      </w:r>
      <w:r w:rsidR="001723FD" w:rsidRPr="00506248">
        <w:t>CRO is now accepting certified copies of Bond</w:t>
      </w:r>
      <w:r>
        <w:t>s for companies without a non-EEA director.</w:t>
      </w:r>
    </w:p>
    <w:p w14:paraId="597758A3" w14:textId="7990FD36" w:rsidR="00506248" w:rsidRDefault="00506248" w:rsidP="00506248">
      <w:pPr>
        <w:pStyle w:val="ListParagraph"/>
        <w:numPr>
          <w:ilvl w:val="0"/>
          <w:numId w:val="7"/>
        </w:numPr>
      </w:pPr>
      <w:r>
        <w:t>T</w:t>
      </w:r>
      <w:r w:rsidR="00DE42A7" w:rsidRPr="00506248">
        <w:t xml:space="preserve">here have been two applications </w:t>
      </w:r>
      <w:r w:rsidR="0004121C" w:rsidRPr="00506248">
        <w:t xml:space="preserve">to date </w:t>
      </w:r>
      <w:r w:rsidR="00DE42A7" w:rsidRPr="00506248">
        <w:t>under the SCARP process</w:t>
      </w:r>
      <w:r>
        <w:t>.</w:t>
      </w:r>
    </w:p>
    <w:p w14:paraId="1EFD03A3" w14:textId="109EFBEC" w:rsidR="00506248" w:rsidRDefault="00506248" w:rsidP="00506248">
      <w:pPr>
        <w:pStyle w:val="ListParagraph"/>
        <w:numPr>
          <w:ilvl w:val="0"/>
          <w:numId w:val="7"/>
        </w:numPr>
      </w:pPr>
      <w:r>
        <w:t xml:space="preserve">There will be a continuing </w:t>
      </w:r>
      <w:r w:rsidR="003D49BD">
        <w:t>expansion</w:t>
      </w:r>
      <w:r>
        <w:t xml:space="preserve"> of mandatory electronic filing of documents.</w:t>
      </w:r>
    </w:p>
    <w:p w14:paraId="13BF0B5F" w14:textId="3E3352DE" w:rsidR="00506248" w:rsidRPr="002727FC" w:rsidRDefault="00C9533F" w:rsidP="00506248">
      <w:pPr>
        <w:pStyle w:val="ListParagraph"/>
        <w:numPr>
          <w:ilvl w:val="0"/>
          <w:numId w:val="7"/>
        </w:numPr>
      </w:pPr>
      <w:r w:rsidRPr="00506248">
        <w:t xml:space="preserve">The CRO </w:t>
      </w:r>
      <w:r w:rsidR="0004121C" w:rsidRPr="00506248">
        <w:t>strike</w:t>
      </w:r>
      <w:r w:rsidRPr="00506248">
        <w:t>-</w:t>
      </w:r>
      <w:r w:rsidR="0004121C" w:rsidRPr="00506248">
        <w:t>off process</w:t>
      </w:r>
      <w:r w:rsidR="00506248">
        <w:t>, which was suspended during the pandemic,</w:t>
      </w:r>
      <w:r w:rsidR="0004121C" w:rsidRPr="00506248">
        <w:t xml:space="preserve"> </w:t>
      </w:r>
      <w:r w:rsidR="007B78DE" w:rsidRPr="00506248">
        <w:t>is being resumed</w:t>
      </w:r>
      <w:r w:rsidR="00506248">
        <w:t>, along</w:t>
      </w:r>
      <w:r w:rsidR="007B78DE" w:rsidRPr="00506248">
        <w:t xml:space="preserve"> with the </w:t>
      </w:r>
      <w:r w:rsidR="00506248">
        <w:t xml:space="preserve">recommencement of </w:t>
      </w:r>
      <w:r w:rsidR="0010089E" w:rsidRPr="00506248">
        <w:t>issuing of summonse</w:t>
      </w:r>
      <w:r w:rsidR="0010089E" w:rsidRPr="002727FC">
        <w:t>s</w:t>
      </w:r>
      <w:r w:rsidR="003D49BD" w:rsidRPr="002727FC">
        <w:t xml:space="preserve"> for prosecutions for failure to file annual returns</w:t>
      </w:r>
      <w:r w:rsidR="0091152D" w:rsidRPr="002727FC">
        <w:t xml:space="preserve">. </w:t>
      </w:r>
    </w:p>
    <w:p w14:paraId="372590C4" w14:textId="1F2DB812" w:rsidR="009431D5" w:rsidRPr="002727FC" w:rsidRDefault="003D49BD" w:rsidP="009431D5">
      <w:pPr>
        <w:pStyle w:val="ListParagraph"/>
        <w:numPr>
          <w:ilvl w:val="0"/>
          <w:numId w:val="7"/>
        </w:numPr>
      </w:pPr>
      <w:r w:rsidRPr="002727FC">
        <w:rPr>
          <w:rFonts w:cstheme="minorHAnsi"/>
          <w:bCs/>
        </w:rPr>
        <w:t xml:space="preserve">The CRO public office was closed during COVID. Due to the increase in electronic filing of documents (just under 90% of documents filed during 2021 were filed electronically) it is not </w:t>
      </w:r>
      <w:r w:rsidRPr="002727FC">
        <w:rPr>
          <w:rFonts w:cstheme="minorHAnsi"/>
          <w:bCs/>
        </w:rPr>
        <w:lastRenderedPageBreak/>
        <w:t>considered that there is sufficient need to return to the provision of a public office. CRO will continue to facilitate the filing of key time-sensitive documents (Court Orders, matters related to stock exchange filings etc) by prior arrangement</w:t>
      </w:r>
      <w:r w:rsidR="009431D5" w:rsidRPr="002727FC">
        <w:t>.</w:t>
      </w:r>
    </w:p>
    <w:p w14:paraId="083E3E96" w14:textId="3C58F332" w:rsidR="009431D5" w:rsidRPr="002727FC" w:rsidRDefault="00D54A9A" w:rsidP="009431D5">
      <w:pPr>
        <w:pStyle w:val="ListParagraph"/>
        <w:numPr>
          <w:ilvl w:val="0"/>
          <w:numId w:val="7"/>
        </w:numPr>
      </w:pPr>
      <w:r w:rsidRPr="002727FC">
        <w:rPr>
          <w:rFonts w:cstheme="minorHAnsi"/>
          <w:bCs/>
        </w:rPr>
        <w:t>In relation to compliance</w:t>
      </w:r>
      <w:r w:rsidR="009431D5" w:rsidRPr="002727FC">
        <w:rPr>
          <w:rFonts w:cstheme="minorHAnsi"/>
          <w:bCs/>
        </w:rPr>
        <w:t xml:space="preserve"> with the registration of beneficial owners</w:t>
      </w:r>
      <w:r w:rsidRPr="002727FC">
        <w:rPr>
          <w:rFonts w:cstheme="minorHAnsi"/>
          <w:bCs/>
        </w:rPr>
        <w:t xml:space="preserve">, </w:t>
      </w:r>
      <w:r w:rsidRPr="002727FC">
        <w:rPr>
          <w:bCs/>
        </w:rPr>
        <w:t>companies</w:t>
      </w:r>
      <w:r w:rsidRPr="002727FC">
        <w:rPr>
          <w:rFonts w:cstheme="minorHAnsi"/>
          <w:bCs/>
        </w:rPr>
        <w:t xml:space="preserve"> have a </w:t>
      </w:r>
      <w:r w:rsidR="00C76F3F" w:rsidRPr="002727FC">
        <w:rPr>
          <w:rFonts w:cstheme="minorHAnsi"/>
          <w:bCs/>
        </w:rPr>
        <w:t>9</w:t>
      </w:r>
      <w:r w:rsidR="003D49BD" w:rsidRPr="002727FC">
        <w:rPr>
          <w:rFonts w:cstheme="minorHAnsi"/>
          <w:bCs/>
        </w:rPr>
        <w:t>0</w:t>
      </w:r>
      <w:r w:rsidR="00C76F3F" w:rsidRPr="002727FC">
        <w:rPr>
          <w:rFonts w:cstheme="minorHAnsi"/>
          <w:bCs/>
        </w:rPr>
        <w:t xml:space="preserve">% compliance </w:t>
      </w:r>
      <w:r w:rsidRPr="002727FC">
        <w:rPr>
          <w:rFonts w:cstheme="minorHAnsi"/>
          <w:bCs/>
        </w:rPr>
        <w:t xml:space="preserve">rate, with societies at 73%. </w:t>
      </w:r>
    </w:p>
    <w:p w14:paraId="60F8B673" w14:textId="31DDC8E1" w:rsidR="00897EBA" w:rsidRPr="002727FC" w:rsidRDefault="000E45DC" w:rsidP="00897EBA">
      <w:pPr>
        <w:pStyle w:val="ListParagraph"/>
        <w:numPr>
          <w:ilvl w:val="0"/>
          <w:numId w:val="7"/>
        </w:numPr>
        <w:rPr>
          <w:rFonts w:cstheme="minorHAnsi"/>
          <w:bCs/>
        </w:rPr>
      </w:pPr>
      <w:r w:rsidRPr="002727FC">
        <w:rPr>
          <w:rFonts w:cstheme="minorHAnsi"/>
          <w:bCs/>
        </w:rPr>
        <w:t xml:space="preserve">With the </w:t>
      </w:r>
      <w:r w:rsidR="00C6462D" w:rsidRPr="002727FC">
        <w:rPr>
          <w:rFonts w:cstheme="minorHAnsi"/>
          <w:bCs/>
        </w:rPr>
        <w:t xml:space="preserve">commencement of the Criminal Justice Act </w:t>
      </w:r>
      <w:r w:rsidR="00897EBA" w:rsidRPr="002727FC">
        <w:rPr>
          <w:rFonts w:cstheme="minorHAnsi"/>
          <w:bCs/>
        </w:rPr>
        <w:t xml:space="preserve">(Money Laundering and Terrorist Financing) (Amendment) Act 2021, </w:t>
      </w:r>
      <w:r w:rsidR="00BA121B" w:rsidRPr="002727FC">
        <w:rPr>
          <w:rFonts w:cstheme="minorHAnsi"/>
          <w:bCs/>
        </w:rPr>
        <w:t>t</w:t>
      </w:r>
      <w:r w:rsidR="003F3C90" w:rsidRPr="002727FC">
        <w:rPr>
          <w:rFonts w:cstheme="minorHAnsi"/>
          <w:bCs/>
        </w:rPr>
        <w:t>here has been an increase in search</w:t>
      </w:r>
      <w:r w:rsidR="00EC74B1" w:rsidRPr="002727FC">
        <w:rPr>
          <w:rFonts w:cstheme="minorHAnsi"/>
          <w:bCs/>
        </w:rPr>
        <w:t xml:space="preserve">es </w:t>
      </w:r>
      <w:r w:rsidRPr="002727FC">
        <w:rPr>
          <w:rFonts w:cstheme="minorHAnsi"/>
          <w:bCs/>
        </w:rPr>
        <w:t xml:space="preserve">of </w:t>
      </w:r>
      <w:r w:rsidR="003D49BD" w:rsidRPr="002727FC">
        <w:rPr>
          <w:rFonts w:cstheme="minorHAnsi"/>
          <w:bCs/>
        </w:rPr>
        <w:t xml:space="preserve">the </w:t>
      </w:r>
      <w:r w:rsidR="00897EBA" w:rsidRPr="002727FC">
        <w:rPr>
          <w:rFonts w:cstheme="minorHAnsi"/>
          <w:bCs/>
        </w:rPr>
        <w:t xml:space="preserve">RBO </w:t>
      </w:r>
      <w:r w:rsidRPr="002727FC">
        <w:rPr>
          <w:rFonts w:cstheme="minorHAnsi"/>
          <w:bCs/>
        </w:rPr>
        <w:t>regist</w:t>
      </w:r>
      <w:r w:rsidR="003D49BD" w:rsidRPr="002727FC">
        <w:rPr>
          <w:rFonts w:cstheme="minorHAnsi"/>
          <w:bCs/>
        </w:rPr>
        <w:t>e</w:t>
      </w:r>
      <w:r w:rsidRPr="002727FC">
        <w:rPr>
          <w:rFonts w:cstheme="minorHAnsi"/>
          <w:bCs/>
        </w:rPr>
        <w:t>r</w:t>
      </w:r>
      <w:r w:rsidR="003D49BD" w:rsidRPr="002727FC">
        <w:rPr>
          <w:rFonts w:cstheme="minorHAnsi"/>
          <w:bCs/>
        </w:rPr>
        <w:t>. There has also been an increase in discrepancy notices and non-compliance notices.</w:t>
      </w:r>
      <w:r w:rsidR="00D172D8">
        <w:rPr>
          <w:rFonts w:cstheme="minorHAnsi"/>
          <w:bCs/>
        </w:rPr>
        <w:t xml:space="preserve"> </w:t>
      </w:r>
      <w:r w:rsidR="005F5D80" w:rsidRPr="002727FC">
        <w:rPr>
          <w:rFonts w:cstheme="minorHAnsi"/>
          <w:bCs/>
        </w:rPr>
        <w:t>In early 2023, there will be a requirement for directors to provide their PPS numbers</w:t>
      </w:r>
      <w:r w:rsidR="00CF7E1B" w:rsidRPr="002727FC">
        <w:rPr>
          <w:rFonts w:cstheme="minorHAnsi"/>
          <w:bCs/>
        </w:rPr>
        <w:t xml:space="preserve"> to validate their identi</w:t>
      </w:r>
      <w:r w:rsidR="003D49BD" w:rsidRPr="002727FC">
        <w:rPr>
          <w:rFonts w:cstheme="minorHAnsi"/>
          <w:bCs/>
        </w:rPr>
        <w:t>ty There has also been an increase in discrepancy notices and non-compliance notices</w:t>
      </w:r>
      <w:r w:rsidR="00CF7E1B" w:rsidRPr="002727FC">
        <w:rPr>
          <w:rFonts w:cstheme="minorHAnsi"/>
          <w:bCs/>
        </w:rPr>
        <w:t xml:space="preserve">. </w:t>
      </w:r>
    </w:p>
    <w:p w14:paraId="726CC238" w14:textId="7D27996C" w:rsidR="00BA2FDC" w:rsidRPr="00897EBA" w:rsidRDefault="00614DFC" w:rsidP="00897EBA">
      <w:pPr>
        <w:pStyle w:val="ListParagraph"/>
        <w:numPr>
          <w:ilvl w:val="0"/>
          <w:numId w:val="7"/>
        </w:numPr>
        <w:rPr>
          <w:rFonts w:cstheme="minorHAnsi"/>
          <w:bCs/>
        </w:rPr>
      </w:pPr>
      <w:r w:rsidRPr="002727FC">
        <w:rPr>
          <w:rFonts w:cstheme="minorHAnsi"/>
          <w:bCs/>
        </w:rPr>
        <w:t xml:space="preserve">The CRO </w:t>
      </w:r>
      <w:r w:rsidR="003D49BD" w:rsidRPr="002727FC">
        <w:rPr>
          <w:rFonts w:cstheme="minorHAnsi"/>
          <w:bCs/>
        </w:rPr>
        <w:t>evaluating the impact of the EU Preventive Restructuring Directive. This Directive obliges Ireland to provide certain statistics on an annual basis to the EU commencing in mid</w:t>
      </w:r>
      <w:r w:rsidR="00D172D8">
        <w:rPr>
          <w:rFonts w:cstheme="minorHAnsi"/>
          <w:bCs/>
        </w:rPr>
        <w:t>-</w:t>
      </w:r>
      <w:r w:rsidR="003D49BD" w:rsidRPr="002727FC">
        <w:rPr>
          <w:rFonts w:cstheme="minorHAnsi"/>
          <w:bCs/>
        </w:rPr>
        <w:t>2023</w:t>
      </w:r>
      <w:r w:rsidR="000E1598" w:rsidRPr="002727FC">
        <w:rPr>
          <w:rFonts w:cstheme="minorHAnsi"/>
          <w:bCs/>
        </w:rPr>
        <w:t xml:space="preserve">. </w:t>
      </w:r>
      <w:r w:rsidR="007F18A9" w:rsidRPr="002727FC">
        <w:rPr>
          <w:rFonts w:cstheme="minorHAnsi"/>
          <w:bCs/>
        </w:rPr>
        <w:t xml:space="preserve">The Registrar confirmed that the CRO </w:t>
      </w:r>
      <w:r w:rsidR="003D49BD" w:rsidRPr="002727FC">
        <w:rPr>
          <w:rFonts w:cstheme="minorHAnsi"/>
          <w:bCs/>
        </w:rPr>
        <w:t>currently only accepts ROS electronic signatures but will consider other e-signatures such as DocuSign in the future</w:t>
      </w:r>
      <w:r w:rsidR="00D36CED" w:rsidRPr="002727FC">
        <w:rPr>
          <w:rFonts w:cstheme="minorHAnsi"/>
          <w:bCs/>
        </w:rPr>
        <w:t xml:space="preserve">. </w:t>
      </w:r>
    </w:p>
    <w:p w14:paraId="0D19BB85" w14:textId="76D8B38B" w:rsidR="00B51C3E" w:rsidRPr="00EF745B" w:rsidRDefault="00B51C3E" w:rsidP="00D24228">
      <w:pPr>
        <w:pStyle w:val="ListParagraph"/>
        <w:numPr>
          <w:ilvl w:val="0"/>
          <w:numId w:val="4"/>
        </w:numPr>
        <w:spacing w:before="480" w:after="240" w:line="240" w:lineRule="auto"/>
        <w:ind w:left="426" w:hanging="426"/>
        <w:contextualSpacing w:val="0"/>
        <w:jc w:val="both"/>
        <w:rPr>
          <w:rFonts w:asciiTheme="minorHAnsi" w:hAnsiTheme="minorHAnsi" w:cstheme="minorHAnsi"/>
          <w:b/>
          <w:bCs/>
        </w:rPr>
      </w:pPr>
      <w:r w:rsidRPr="008A790E">
        <w:rPr>
          <w:b/>
          <w:bCs/>
        </w:rPr>
        <w:t>AOB</w:t>
      </w:r>
    </w:p>
    <w:p w14:paraId="190C65FE" w14:textId="16B7AACD" w:rsidR="00B51C3E" w:rsidRPr="00D24228" w:rsidRDefault="00BA2FDC" w:rsidP="00D24228">
      <w:pPr>
        <w:spacing w:after="240" w:line="240" w:lineRule="auto"/>
        <w:jc w:val="both"/>
        <w:rPr>
          <w:rFonts w:cstheme="minorHAnsi"/>
          <w:bCs/>
        </w:rPr>
      </w:pPr>
      <w:r>
        <w:rPr>
          <w:rFonts w:cstheme="minorHAnsi"/>
          <w:bCs/>
        </w:rPr>
        <w:t xml:space="preserve">The Secretary </w:t>
      </w:r>
      <w:r w:rsidR="005866DD">
        <w:rPr>
          <w:rFonts w:cstheme="minorHAnsi"/>
          <w:bCs/>
        </w:rPr>
        <w:t xml:space="preserve">advised that the CLRG 2021 </w:t>
      </w:r>
      <w:r w:rsidR="00B51C3E" w:rsidRPr="006021B9">
        <w:rPr>
          <w:rFonts w:cstheme="minorHAnsi"/>
          <w:bCs/>
        </w:rPr>
        <w:t xml:space="preserve">Annual </w:t>
      </w:r>
      <w:r w:rsidR="00B51C3E" w:rsidRPr="00E10F0C">
        <w:rPr>
          <w:bCs/>
        </w:rPr>
        <w:t>Report</w:t>
      </w:r>
      <w:r w:rsidR="005866DD">
        <w:rPr>
          <w:rFonts w:cstheme="minorHAnsi"/>
          <w:bCs/>
        </w:rPr>
        <w:t xml:space="preserve"> was noted at Cabinet on 24 May and will now be laid before the Oireachtas</w:t>
      </w:r>
      <w:r w:rsidR="00B51C3E" w:rsidRPr="006021B9">
        <w:rPr>
          <w:rFonts w:cstheme="minorHAnsi"/>
          <w:bCs/>
        </w:rPr>
        <w:t xml:space="preserve">. </w:t>
      </w:r>
    </w:p>
    <w:p w14:paraId="0BB1840A" w14:textId="77777777" w:rsidR="00B51C3E" w:rsidRDefault="00B51C3E" w:rsidP="00D24228">
      <w:pPr>
        <w:pStyle w:val="ListParagraph"/>
        <w:numPr>
          <w:ilvl w:val="0"/>
          <w:numId w:val="4"/>
        </w:numPr>
        <w:spacing w:before="480" w:after="240" w:line="240" w:lineRule="auto"/>
        <w:ind w:left="426" w:hanging="426"/>
        <w:contextualSpacing w:val="0"/>
        <w:jc w:val="both"/>
        <w:rPr>
          <w:rFonts w:asciiTheme="minorHAnsi" w:hAnsiTheme="minorHAnsi" w:cstheme="minorHAnsi"/>
          <w:b/>
          <w:bCs/>
        </w:rPr>
      </w:pPr>
      <w:r w:rsidRPr="008A790E">
        <w:rPr>
          <w:b/>
          <w:bCs/>
        </w:rPr>
        <w:t>Date</w:t>
      </w:r>
      <w:r w:rsidRPr="008A790E">
        <w:rPr>
          <w:rFonts w:asciiTheme="minorHAnsi" w:hAnsiTheme="minorHAnsi" w:cstheme="minorHAnsi"/>
          <w:b/>
          <w:bCs/>
        </w:rPr>
        <w:t xml:space="preserve"> of </w:t>
      </w:r>
      <w:r w:rsidRPr="00C47CFC">
        <w:rPr>
          <w:b/>
          <w:bCs/>
        </w:rPr>
        <w:t>next</w:t>
      </w:r>
      <w:r w:rsidRPr="008A790E">
        <w:rPr>
          <w:rFonts w:asciiTheme="minorHAnsi" w:hAnsiTheme="minorHAnsi" w:cstheme="minorHAnsi"/>
          <w:b/>
          <w:bCs/>
        </w:rPr>
        <w:t xml:space="preserve"> meetin</w:t>
      </w:r>
      <w:r>
        <w:rPr>
          <w:rFonts w:asciiTheme="minorHAnsi" w:hAnsiTheme="minorHAnsi" w:cstheme="minorHAnsi"/>
          <w:b/>
          <w:bCs/>
        </w:rPr>
        <w:t>g</w:t>
      </w:r>
    </w:p>
    <w:p w14:paraId="0B3A33B9" w14:textId="19948FC4" w:rsidR="00B51C3E" w:rsidRDefault="00BA4968" w:rsidP="00E10F0C">
      <w:pPr>
        <w:spacing w:after="240" w:line="240" w:lineRule="auto"/>
        <w:jc w:val="both"/>
      </w:pPr>
      <w:r>
        <w:t xml:space="preserve">The Chair </w:t>
      </w:r>
      <w:r w:rsidR="00165B0C">
        <w:t xml:space="preserve">confirmed that </w:t>
      </w:r>
      <w:r w:rsidR="007E1607">
        <w:t xml:space="preserve">a preliminary date for </w:t>
      </w:r>
      <w:r w:rsidR="00165B0C" w:rsidRPr="00E10F0C">
        <w:rPr>
          <w:bCs/>
        </w:rPr>
        <w:t>the</w:t>
      </w:r>
      <w:r w:rsidR="00165B0C">
        <w:t xml:space="preserve"> next Plenary meeting is September 2022 </w:t>
      </w:r>
      <w:r w:rsidR="00CA5B63">
        <w:t xml:space="preserve">with the new membership. </w:t>
      </w:r>
      <w:r w:rsidR="007E1607">
        <w:t xml:space="preserve">He </w:t>
      </w:r>
      <w:r w:rsidR="007E1607" w:rsidRPr="00E10F0C">
        <w:rPr>
          <w:rFonts w:cstheme="minorHAnsi"/>
        </w:rPr>
        <w:t>confirmed</w:t>
      </w:r>
      <w:r w:rsidR="007E1607">
        <w:t xml:space="preserve"> that the new committees could</w:t>
      </w:r>
      <w:r w:rsidR="00443428">
        <w:t xml:space="preserve"> </w:t>
      </w:r>
      <w:r w:rsidR="000424E2">
        <w:t xml:space="preserve">get </w:t>
      </w:r>
      <w:r w:rsidR="00443428">
        <w:t>up and running in advance of that meeting</w:t>
      </w:r>
      <w:r w:rsidR="000424E2">
        <w:t>.</w:t>
      </w:r>
    </w:p>
    <w:sectPr w:rsidR="00B51C3E" w:rsidSect="00B51C3E">
      <w:headerReference w:type="even" r:id="rId14"/>
      <w:headerReference w:type="default" r:id="rId15"/>
      <w:footerReference w:type="even" r:id="rId16"/>
      <w:footerReference w:type="default" r:id="rId17"/>
      <w:headerReference w:type="first" r:id="rId18"/>
      <w:footerReference w:type="first" r:id="rId19"/>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DA42E" w14:textId="77777777" w:rsidR="00F16D1C" w:rsidRDefault="00F16D1C" w:rsidP="00122A0E">
      <w:pPr>
        <w:spacing w:after="0" w:line="240" w:lineRule="auto"/>
      </w:pPr>
      <w:r>
        <w:separator/>
      </w:r>
    </w:p>
  </w:endnote>
  <w:endnote w:type="continuationSeparator" w:id="0">
    <w:p w14:paraId="74B279A4" w14:textId="77777777" w:rsidR="00F16D1C" w:rsidRDefault="00F16D1C" w:rsidP="0012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E91E" w14:textId="0151BE9E" w:rsidR="00151422" w:rsidRDefault="00151422">
    <w:pPr>
      <w:pStyle w:val="Footer"/>
    </w:pPr>
  </w:p>
  <w:p w14:paraId="380A665A" w14:textId="5617798C" w:rsidR="00151422" w:rsidRDefault="00E75EFE" w:rsidP="00151422">
    <w:pPr>
      <w:pStyle w:val="Footer"/>
      <w:jc w:val="right"/>
    </w:pPr>
    <w:r>
      <w:fldChar w:fldCharType="begin"/>
    </w:r>
    <w:r>
      <w:instrText xml:space="preserve"> DOCPROPERTY "IWFooter"  \* MERGEFORMAT </w:instrText>
    </w:r>
    <w:r>
      <w:fldChar w:fldCharType="separate"/>
    </w:r>
    <w:r w:rsidR="00151422" w:rsidRPr="00151422">
      <w:rPr>
        <w:sz w:val="16"/>
      </w:rPr>
      <w:t>MHC-28472884-1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395221"/>
      <w:docPartObj>
        <w:docPartGallery w:val="Page Numbers (Bottom of Page)"/>
        <w:docPartUnique/>
      </w:docPartObj>
    </w:sdtPr>
    <w:sdtEndPr/>
    <w:sdtContent>
      <w:sdt>
        <w:sdtPr>
          <w:id w:val="-1769616900"/>
          <w:docPartObj>
            <w:docPartGallery w:val="Page Numbers (Top of Page)"/>
            <w:docPartUnique/>
          </w:docPartObj>
        </w:sdtPr>
        <w:sdtEndPr/>
        <w:sdtContent>
          <w:p w14:paraId="46D8C2D8" w14:textId="21FBE4A5" w:rsidR="00151422" w:rsidRDefault="00122A0E" w:rsidP="008E4B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206D" w14:textId="07783A6A" w:rsidR="00151422" w:rsidRDefault="00151422">
    <w:pPr>
      <w:pStyle w:val="Footer"/>
    </w:pPr>
  </w:p>
  <w:p w14:paraId="2A659FAB" w14:textId="4F655976" w:rsidR="00151422" w:rsidRDefault="00E75EFE" w:rsidP="00151422">
    <w:pPr>
      <w:pStyle w:val="Footer"/>
      <w:jc w:val="right"/>
    </w:pPr>
    <w:r>
      <w:fldChar w:fldCharType="begin"/>
    </w:r>
    <w:r>
      <w:instrText xml:space="preserve"> DOCPROPERTY "IWFooter"  \* MERGEFORMAT </w:instrText>
    </w:r>
    <w:r>
      <w:fldChar w:fldCharType="separate"/>
    </w:r>
    <w:r w:rsidR="00151422" w:rsidRPr="00151422">
      <w:rPr>
        <w:sz w:val="16"/>
      </w:rPr>
      <w:t>MHC-28472884-1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B58D7" w14:textId="77777777" w:rsidR="00F16D1C" w:rsidRDefault="00F16D1C" w:rsidP="00122A0E">
      <w:pPr>
        <w:spacing w:after="0" w:line="240" w:lineRule="auto"/>
      </w:pPr>
      <w:r>
        <w:separator/>
      </w:r>
    </w:p>
  </w:footnote>
  <w:footnote w:type="continuationSeparator" w:id="0">
    <w:p w14:paraId="4671EA9F" w14:textId="77777777" w:rsidR="00F16D1C" w:rsidRDefault="00F16D1C" w:rsidP="00122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40CE" w14:textId="77777777" w:rsidR="00151422" w:rsidRDefault="00151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38EB" w14:textId="29DB714A" w:rsidR="00151422" w:rsidRDefault="00151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1DF1" w14:textId="77777777" w:rsidR="00151422" w:rsidRDefault="00151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E3217"/>
    <w:multiLevelType w:val="hybridMultilevel"/>
    <w:tmpl w:val="D332C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7A451C9"/>
    <w:multiLevelType w:val="hybridMultilevel"/>
    <w:tmpl w:val="3BF6A186"/>
    <w:lvl w:ilvl="0" w:tplc="133E6E10">
      <w:start w:val="1"/>
      <w:numFmt w:val="bullet"/>
      <w:lvlText w:val="o"/>
      <w:lvlJc w:val="left"/>
      <w:pPr>
        <w:ind w:left="720" w:hanging="360"/>
      </w:pPr>
      <w:rPr>
        <w:rFonts w:ascii="Courier New" w:hAnsi="Courier New" w:cs="Courier New"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9DA0577"/>
    <w:multiLevelType w:val="hybridMultilevel"/>
    <w:tmpl w:val="FE407F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3356BD0"/>
    <w:multiLevelType w:val="hybridMultilevel"/>
    <w:tmpl w:val="931AE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09B5427"/>
    <w:multiLevelType w:val="hybridMultilevel"/>
    <w:tmpl w:val="D2A4940E"/>
    <w:lvl w:ilvl="0" w:tplc="EEB89FEC">
      <w:start w:val="201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EFA1C25"/>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E079DD"/>
    <w:multiLevelType w:val="hybridMultilevel"/>
    <w:tmpl w:val="EFD664CE"/>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01557266">
    <w:abstractNumId w:val="5"/>
  </w:num>
  <w:num w:numId="2" w16cid:durableId="267203449">
    <w:abstractNumId w:val="6"/>
  </w:num>
  <w:num w:numId="3" w16cid:durableId="926812724">
    <w:abstractNumId w:val="0"/>
  </w:num>
  <w:num w:numId="4" w16cid:durableId="2057656809">
    <w:abstractNumId w:val="2"/>
  </w:num>
  <w:num w:numId="5" w16cid:durableId="1812207038">
    <w:abstractNumId w:val="4"/>
  </w:num>
  <w:num w:numId="6" w16cid:durableId="1380202903">
    <w:abstractNumId w:val="3"/>
  </w:num>
  <w:num w:numId="7" w16cid:durableId="608391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3E"/>
    <w:rsid w:val="00013297"/>
    <w:rsid w:val="000220EE"/>
    <w:rsid w:val="0004121C"/>
    <w:rsid w:val="000424E2"/>
    <w:rsid w:val="00097CC7"/>
    <w:rsid w:val="000A7BF1"/>
    <w:rsid w:val="000C2BC4"/>
    <w:rsid w:val="000E1598"/>
    <w:rsid w:val="000E45DC"/>
    <w:rsid w:val="0010089E"/>
    <w:rsid w:val="00111C67"/>
    <w:rsid w:val="00120BB9"/>
    <w:rsid w:val="00122A0E"/>
    <w:rsid w:val="00151422"/>
    <w:rsid w:val="00165B0C"/>
    <w:rsid w:val="001723FD"/>
    <w:rsid w:val="001964F1"/>
    <w:rsid w:val="001D6D01"/>
    <w:rsid w:val="002478E4"/>
    <w:rsid w:val="002554AD"/>
    <w:rsid w:val="002727FC"/>
    <w:rsid w:val="002838D1"/>
    <w:rsid w:val="002E147E"/>
    <w:rsid w:val="002F0A99"/>
    <w:rsid w:val="00300743"/>
    <w:rsid w:val="00316196"/>
    <w:rsid w:val="00323E9F"/>
    <w:rsid w:val="00384B1C"/>
    <w:rsid w:val="003B0496"/>
    <w:rsid w:val="003B6B8E"/>
    <w:rsid w:val="003D3BF1"/>
    <w:rsid w:val="003D49BD"/>
    <w:rsid w:val="003D6EC2"/>
    <w:rsid w:val="003F3C90"/>
    <w:rsid w:val="003F598A"/>
    <w:rsid w:val="004103D9"/>
    <w:rsid w:val="00443428"/>
    <w:rsid w:val="00473209"/>
    <w:rsid w:val="00506248"/>
    <w:rsid w:val="00533518"/>
    <w:rsid w:val="00562A3A"/>
    <w:rsid w:val="005866DD"/>
    <w:rsid w:val="00593955"/>
    <w:rsid w:val="005C4F7E"/>
    <w:rsid w:val="005F5D80"/>
    <w:rsid w:val="00614DFC"/>
    <w:rsid w:val="0067072D"/>
    <w:rsid w:val="0070062D"/>
    <w:rsid w:val="00713EB9"/>
    <w:rsid w:val="00723301"/>
    <w:rsid w:val="00793733"/>
    <w:rsid w:val="007B78DE"/>
    <w:rsid w:val="007D46E5"/>
    <w:rsid w:val="007E1607"/>
    <w:rsid w:val="007F18A9"/>
    <w:rsid w:val="008974D8"/>
    <w:rsid w:val="00897EBA"/>
    <w:rsid w:val="008D27F1"/>
    <w:rsid w:val="008E4B9F"/>
    <w:rsid w:val="008F3141"/>
    <w:rsid w:val="0091152D"/>
    <w:rsid w:val="009431D5"/>
    <w:rsid w:val="0095515F"/>
    <w:rsid w:val="00974680"/>
    <w:rsid w:val="009A0FAB"/>
    <w:rsid w:val="00A046A3"/>
    <w:rsid w:val="00A60A96"/>
    <w:rsid w:val="00A630C9"/>
    <w:rsid w:val="00AA1967"/>
    <w:rsid w:val="00AA2818"/>
    <w:rsid w:val="00AF6879"/>
    <w:rsid w:val="00B11675"/>
    <w:rsid w:val="00B128BB"/>
    <w:rsid w:val="00B35A65"/>
    <w:rsid w:val="00B427BC"/>
    <w:rsid w:val="00B51C3E"/>
    <w:rsid w:val="00B7210F"/>
    <w:rsid w:val="00BA121B"/>
    <w:rsid w:val="00BA2FDC"/>
    <w:rsid w:val="00BA4702"/>
    <w:rsid w:val="00BA4968"/>
    <w:rsid w:val="00BC049F"/>
    <w:rsid w:val="00BE5896"/>
    <w:rsid w:val="00C17419"/>
    <w:rsid w:val="00C47CFC"/>
    <w:rsid w:val="00C6462D"/>
    <w:rsid w:val="00C76F3F"/>
    <w:rsid w:val="00C9533F"/>
    <w:rsid w:val="00CA1E5D"/>
    <w:rsid w:val="00CA5B63"/>
    <w:rsid w:val="00CB338F"/>
    <w:rsid w:val="00CE036B"/>
    <w:rsid w:val="00CE08FC"/>
    <w:rsid w:val="00CE0A35"/>
    <w:rsid w:val="00CF7E1B"/>
    <w:rsid w:val="00D06189"/>
    <w:rsid w:val="00D172D8"/>
    <w:rsid w:val="00D24228"/>
    <w:rsid w:val="00D36CED"/>
    <w:rsid w:val="00D54A9A"/>
    <w:rsid w:val="00D65C5A"/>
    <w:rsid w:val="00D739C2"/>
    <w:rsid w:val="00DE13CE"/>
    <w:rsid w:val="00DE42A7"/>
    <w:rsid w:val="00E10F0C"/>
    <w:rsid w:val="00E6344F"/>
    <w:rsid w:val="00E71068"/>
    <w:rsid w:val="00E75EFE"/>
    <w:rsid w:val="00EA7507"/>
    <w:rsid w:val="00EC74B1"/>
    <w:rsid w:val="00F05ECB"/>
    <w:rsid w:val="00F16D1C"/>
    <w:rsid w:val="00F52809"/>
    <w:rsid w:val="00FA5551"/>
    <w:rsid w:val="00FC3D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378A5"/>
  <w15:chartTrackingRefBased/>
  <w15:docId w15:val="{67511BA9-5100-4AD0-91D4-25B39FD9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73209"/>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B51C3E"/>
    <w:pPr>
      <w:pBdr>
        <w:top w:val="single" w:sz="4" w:space="1" w:color="auto" w:shadow="1"/>
        <w:left w:val="single" w:sz="4" w:space="4" w:color="auto" w:shadow="1"/>
        <w:bottom w:val="single" w:sz="4" w:space="1" w:color="auto" w:shadow="1"/>
        <w:right w:val="single" w:sz="4" w:space="4" w:color="auto" w:shadow="1"/>
      </w:pBdr>
      <w:spacing w:after="0" w:line="240" w:lineRule="auto"/>
      <w:ind w:left="360" w:hanging="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B51C3E"/>
    <w:rPr>
      <w:rFonts w:ascii="Times New Roman" w:eastAsia="Times New Roman" w:hAnsi="Times New Roman" w:cs="Times New Roman"/>
      <w:sz w:val="24"/>
      <w:szCs w:val="24"/>
    </w:rPr>
  </w:style>
  <w:style w:type="paragraph" w:styleId="ListParagraph">
    <w:name w:val="List Paragraph"/>
    <w:aliases w:val="Dot pt,F5 List Paragraph,List Paragraph1,No Spacing1,List Paragraph Char Char Char,Indicator Text,Numbered Para 1,Bullet 1,List Paragraph12,Bullet Points,MAIN CONTENT,Colorful List - Accent 11,Subtitle Cover Page,References,3,リスト"/>
    <w:basedOn w:val="Normal"/>
    <w:link w:val="ListParagraphChar"/>
    <w:uiPriority w:val="34"/>
    <w:qFormat/>
    <w:rsid w:val="00B51C3E"/>
    <w:pPr>
      <w:spacing w:after="200" w:line="276" w:lineRule="auto"/>
      <w:ind w:left="720"/>
      <w:contextualSpacing/>
    </w:pPr>
    <w:rPr>
      <w:rFonts w:ascii="Calibri" w:eastAsia="Calibri" w:hAnsi="Calibri" w:cs="Times New Roman"/>
    </w:rPr>
  </w:style>
  <w:style w:type="character" w:customStyle="1" w:styleId="Heading3Char">
    <w:name w:val="Heading 3 Char"/>
    <w:basedOn w:val="DefaultParagraphFont"/>
    <w:link w:val="Heading3"/>
    <w:uiPriority w:val="9"/>
    <w:rsid w:val="0047320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3 Char"/>
    <w:basedOn w:val="DefaultParagraphFont"/>
    <w:link w:val="ListParagraph"/>
    <w:uiPriority w:val="34"/>
    <w:qFormat/>
    <w:locked/>
    <w:rsid w:val="00473209"/>
    <w:rPr>
      <w:rFonts w:ascii="Calibri" w:eastAsia="Calibri" w:hAnsi="Calibri" w:cs="Times New Roman"/>
    </w:rPr>
  </w:style>
  <w:style w:type="character" w:styleId="CommentReference">
    <w:name w:val="annotation reference"/>
    <w:basedOn w:val="DefaultParagraphFont"/>
    <w:uiPriority w:val="99"/>
    <w:semiHidden/>
    <w:unhideWhenUsed/>
    <w:rsid w:val="003B6B8E"/>
    <w:rPr>
      <w:sz w:val="16"/>
      <w:szCs w:val="16"/>
    </w:rPr>
  </w:style>
  <w:style w:type="paragraph" w:styleId="CommentText">
    <w:name w:val="annotation text"/>
    <w:basedOn w:val="Normal"/>
    <w:link w:val="CommentTextChar"/>
    <w:uiPriority w:val="99"/>
    <w:semiHidden/>
    <w:unhideWhenUsed/>
    <w:rsid w:val="003B6B8E"/>
    <w:pPr>
      <w:spacing w:line="240" w:lineRule="auto"/>
    </w:pPr>
    <w:rPr>
      <w:sz w:val="20"/>
      <w:szCs w:val="20"/>
    </w:rPr>
  </w:style>
  <w:style w:type="character" w:customStyle="1" w:styleId="CommentTextChar">
    <w:name w:val="Comment Text Char"/>
    <w:basedOn w:val="DefaultParagraphFont"/>
    <w:link w:val="CommentText"/>
    <w:uiPriority w:val="99"/>
    <w:semiHidden/>
    <w:rsid w:val="003B6B8E"/>
    <w:rPr>
      <w:sz w:val="20"/>
      <w:szCs w:val="20"/>
    </w:rPr>
  </w:style>
  <w:style w:type="paragraph" w:styleId="CommentSubject">
    <w:name w:val="annotation subject"/>
    <w:basedOn w:val="CommentText"/>
    <w:next w:val="CommentText"/>
    <w:link w:val="CommentSubjectChar"/>
    <w:uiPriority w:val="99"/>
    <w:semiHidden/>
    <w:unhideWhenUsed/>
    <w:rsid w:val="003B6B8E"/>
    <w:rPr>
      <w:b/>
      <w:bCs/>
    </w:rPr>
  </w:style>
  <w:style w:type="character" w:customStyle="1" w:styleId="CommentSubjectChar">
    <w:name w:val="Comment Subject Char"/>
    <w:basedOn w:val="CommentTextChar"/>
    <w:link w:val="CommentSubject"/>
    <w:uiPriority w:val="99"/>
    <w:semiHidden/>
    <w:rsid w:val="003B6B8E"/>
    <w:rPr>
      <w:b/>
      <w:bCs/>
      <w:sz w:val="20"/>
      <w:szCs w:val="20"/>
    </w:rPr>
  </w:style>
  <w:style w:type="paragraph" w:styleId="Header">
    <w:name w:val="header"/>
    <w:basedOn w:val="Normal"/>
    <w:link w:val="HeaderChar"/>
    <w:uiPriority w:val="99"/>
    <w:unhideWhenUsed/>
    <w:rsid w:val="00122A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A0E"/>
  </w:style>
  <w:style w:type="paragraph" w:styleId="Footer">
    <w:name w:val="footer"/>
    <w:basedOn w:val="Normal"/>
    <w:link w:val="FooterChar"/>
    <w:uiPriority w:val="99"/>
    <w:unhideWhenUsed/>
    <w:rsid w:val="00122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A0E"/>
  </w:style>
  <w:style w:type="paragraph" w:styleId="Revision">
    <w:name w:val="Revision"/>
    <w:hidden/>
    <w:uiPriority w:val="99"/>
    <w:semiHidden/>
    <w:rsid w:val="00CE0A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55801">
      <w:bodyDiv w:val="1"/>
      <w:marLeft w:val="0"/>
      <w:marRight w:val="0"/>
      <w:marTop w:val="0"/>
      <w:marBottom w:val="0"/>
      <w:divBdr>
        <w:top w:val="none" w:sz="0" w:space="0" w:color="auto"/>
        <w:left w:val="none" w:sz="0" w:space="0" w:color="auto"/>
        <w:bottom w:val="none" w:sz="0" w:space="0" w:color="auto"/>
        <w:right w:val="none" w:sz="0" w:space="0" w:color="auto"/>
      </w:divBdr>
    </w:div>
    <w:div w:id="4682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431c743-f6a9-48df-a757-23ca2c008fde">
      <Value>4</Value>
      <Value>3</Value>
      <Value>1</Value>
    </TaxCatchAll>
    <eDocs_FileTopicsTaxHTField0 xmlns="a5b815bc-f799-4891-b534-afa2af38ebcb">
      <Terms xmlns="http://schemas.microsoft.com/office/infopath/2007/PartnerControls"/>
    </eDocs_FileTopicsTaxHTField0>
    <eDocs_FileStatus xmlns="http://schemas.microsoft.com/sharepoint/v3">Live</eDocs_FileStatus>
    <eDocs_DocumentTopicsTaxHTField0 xmlns="a5b815bc-f799-4891-b534-afa2af38ebcb">
      <Terms xmlns="http://schemas.microsoft.com/office/infopath/2007/PartnerControls"/>
    </eDocs_DocumentTopicsTaxHTField0>
    <eDocs_YearTaxHTField0 xmlns="a5b815bc-f799-4891-b534-afa2af38ebc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a64395a4-af33-4797-8677-16ff10df57b2</TermId>
        </TermInfo>
      </Terms>
    </eDocs_YearTaxHTField0>
    <eDocs_SeriesSubSeriesTaxHTField0 xmlns="a5b815bc-f799-4891-b534-afa2af38ebcb">
      <Terms xmlns="http://schemas.microsoft.com/office/infopath/2007/PartnerControls">
        <TermInfo xmlns="http://schemas.microsoft.com/office/infopath/2007/PartnerControls">
          <TermName xmlns="http://schemas.microsoft.com/office/infopath/2007/PartnerControls">343</TermName>
          <TermId xmlns="http://schemas.microsoft.com/office/infopath/2007/PartnerControls">712f37b6-eef7-40de-bc8c-39139fdf8285</TermId>
        </TermInfo>
      </Terms>
    </eDocs_SeriesSubSeriesTaxHTField0>
    <eDocs_SecurityClassificationTaxHTField0 xmlns="a5b815bc-f799-4891-b534-afa2af38ebc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eDocs_SecurityClassificationTaxHTField0>
    <eDocs_FileName xmlns="http://schemas.microsoft.com/sharepoint/v3">ENT343-002-2021</eDocs_FileName>
    <_dlc_ExpireDateSaved xmlns="http://schemas.microsoft.com/sharepoint/v3" xsi:nil="true"/>
    <_dlc_ExpireDate xmlns="http://schemas.microsoft.com/sharepoint/v3" xsi:nil="true"/>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51A256295BE6A340A3D3C8A0552F39DE" ma:contentTypeVersion="16" ma:contentTypeDescription="Create a new document for eDocs" ma:contentTypeScope="" ma:versionID="418f5b5eb90298eb9c849d2f43a3fe5f">
  <xsd:schema xmlns:xsd="http://www.w3.org/2001/XMLSchema" xmlns:xs="http://www.w3.org/2001/XMLSchema" xmlns:p="http://schemas.microsoft.com/office/2006/metadata/properties" xmlns:ns1="http://schemas.microsoft.com/sharepoint/v3" xmlns:ns2="a5b815bc-f799-4891-b534-afa2af38ebcb" xmlns:ns3="f431c743-f6a9-48df-a757-23ca2c008fde" targetNamespace="http://schemas.microsoft.com/office/2006/metadata/properties" ma:root="true" ma:fieldsID="5da627f7bd26515012af3ff5c2b0b3bd" ns1:_="" ns2:_="" ns3:_="">
    <xsd:import namespace="http://schemas.microsoft.com/sharepoint/v3"/>
    <xsd:import namespace="a5b815bc-f799-4891-b534-afa2af38ebcb"/>
    <xsd:import namespace="f431c743-f6a9-48df-a757-23ca2c008fde"/>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a5b815bc-f799-4891-b534-afa2af38ebc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e36a89c-badf-4a75-9c1f-7b6075148829" ma:termSetId="3dd97c27-f4a3-428e-88ed-ab421e3bf32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e36a89c-badf-4a75-9c1f-7b6075148829" ma:termSetId="8a03c542-8ee2-42ae-859c-5871d357cf9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e36a89c-badf-4a75-9c1f-7b6075148829" ma:termSetId="19906231-5322-4bde-9eca-e2bf4b2863b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e36a89c-badf-4a75-9c1f-7b6075148829" ma:termSetId="3dd97c27-f4a3-428e-88ed-ab421e3bf323"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779752a3-a421-4077-839c-91815f544ae2" ma:fieldId="{6bbd3faf-a5ab-4e5e-b8a6-a5e099cef439}" ma:sspId="2e36a89c-badf-4a75-9c1f-7b6075148829" ma:termSetId="adff5dbb-d868-43e3-a559-099a223f74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31c743-f6a9-48df-a757-23ca2c008f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0e77ed-bf31-4a2c-bb23-8d3af9bf3f6f}" ma:internalName="TaxCatchAll" ma:showField="CatchAllData" ma:web="f431c743-f6a9-48df-a757-23ca2c008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B8DA2DBE-6208-4E17-9F7B-2781178E7209}">
  <ds:schemaRefs>
    <ds:schemaRef ds:uri="http://schemas.openxmlformats.org/officeDocument/2006/bibliography"/>
  </ds:schemaRefs>
</ds:datastoreItem>
</file>

<file path=customXml/itemProps2.xml><?xml version="1.0" encoding="utf-8"?>
<ds:datastoreItem xmlns:ds="http://schemas.openxmlformats.org/officeDocument/2006/customXml" ds:itemID="{92383C49-58F3-4029-BBED-37C2685A5D8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f431c743-f6a9-48df-a757-23ca2c008fde"/>
    <ds:schemaRef ds:uri="http://schemas.microsoft.com/office/2006/documentManagement/types"/>
    <ds:schemaRef ds:uri="a5b815bc-f799-4891-b534-afa2af38ebc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2056391-CB60-49D2-9091-7A083D6EA300}">
  <ds:schemaRefs>
    <ds:schemaRef ds:uri="http://schemas.microsoft.com/sharepoint/events"/>
  </ds:schemaRefs>
</ds:datastoreItem>
</file>

<file path=customXml/itemProps4.xml><?xml version="1.0" encoding="utf-8"?>
<ds:datastoreItem xmlns:ds="http://schemas.openxmlformats.org/officeDocument/2006/customXml" ds:itemID="{1097F3C7-EBE6-4109-AAD4-433ABE77BA0D}">
  <ds:schemaRefs>
    <ds:schemaRef ds:uri="http://schemas.microsoft.com/sharepoint/v3/contenttype/forms"/>
  </ds:schemaRefs>
</ds:datastoreItem>
</file>

<file path=customXml/itemProps5.xml><?xml version="1.0" encoding="utf-8"?>
<ds:datastoreItem xmlns:ds="http://schemas.openxmlformats.org/officeDocument/2006/customXml" ds:itemID="{FC1FCB9E-28A9-4D65-B9C3-A52EB93B0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b815bc-f799-4891-b534-afa2af38ebcb"/>
    <ds:schemaRef ds:uri="f431c743-f6a9-48df-a757-23ca2c008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6CDF3D-B19B-430B-9156-2A98BC346AC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DETE</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Morgan</dc:creator>
  <cp:keywords/>
  <dc:description/>
  <cp:lastModifiedBy>Dan O'Neill</cp:lastModifiedBy>
  <cp:revision>3</cp:revision>
  <dcterms:created xsi:type="dcterms:W3CDTF">2023-04-03T10:57:00Z</dcterms:created>
  <dcterms:modified xsi:type="dcterms:W3CDTF">2023-04-03T10:57:00Z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0x0101000BC94875665D404BB1351B53C41FD2C00051A256295BE6A340A3D3C8A0552F39DE</vt:lpwstr>
  </property>
  <property fmtid="{D5CDD505-2E9C-101B-9397-08002B2CF9AE}" pid="3" name="eDocs_SecurityClassification">
    <vt:lpwstr>1;#Unclassified|779752a3-a421-4077-839c-91815f544ae2</vt:lpwstr>
  </property>
  <property fmtid="{D5CDD505-2E9C-101B-9397-08002B2CF9AE}" pid="4" name="eDocs_Year">
    <vt:lpwstr>3;#2021|a64395a4-af33-4797-8677-16ff10df57b2</vt:lpwstr>
  </property>
  <property fmtid="{D5CDD505-2E9C-101B-9397-08002B2CF9AE}" pid="5" name="eDocs_SeriesSubSeries">
    <vt:lpwstr>4;#343|712f37b6-eef7-40de-bc8c-39139fdf8285</vt:lpwstr>
  </property>
  <property fmtid="{D5CDD505-2E9C-101B-9397-08002B2CF9AE}" pid="6" name="eDocs_FileTopics">
    <vt:lpwstr/>
  </property>
  <property fmtid="{D5CDD505-2E9C-101B-9397-08002B2CF9AE}" pid="7" name="eDocs_DocumentTopics">
    <vt:lpwstr/>
  </property>
  <property fmtid="{D5CDD505-2E9C-101B-9397-08002B2CF9AE}" pid="8" name="_dlc_policyId">
    <vt:lpwstr>0x0101000BC94875665D404BB1351B53C41FD2C0|151133126</vt:lpwstr>
  </property>
  <property fmtid="{D5CDD505-2E9C-101B-9397-08002B2CF9AE}" pid="9" name="ItemRetentionFormula">
    <vt:lpwstr/>
  </property>
  <property fmtid="{D5CDD505-2E9C-101B-9397-08002B2CF9AE}" pid="10" name="iManTInitials">
    <vt:lpwstr>PE</vt:lpwstr>
  </property>
  <property fmtid="{D5CDD505-2E9C-101B-9397-08002B2CF9AE}" pid="11" name="iManOInitials">
    <vt:lpwstr>PE</vt:lpwstr>
  </property>
  <property fmtid="{D5CDD505-2E9C-101B-9397-08002B2CF9AE}" pid="12" name="IWFooter">
    <vt:lpwstr>MHC-28472884-1</vt:lpwstr>
  </property>
  <property fmtid="{D5CDD505-2E9C-101B-9397-08002B2CF9AE}" pid="13" name="IWOwner">
    <vt:lpwstr>PEGAN</vt:lpwstr>
  </property>
  <property fmtid="{D5CDD505-2E9C-101B-9397-08002B2CF9AE}" pid="14" name="IWOwnerName">
    <vt:lpwstr>Paul Egan SC</vt:lpwstr>
  </property>
  <property fmtid="{D5CDD505-2E9C-101B-9397-08002B2CF9AE}" pid="15" name="IWClientNum">
    <vt:lpwstr>0</vt:lpwstr>
  </property>
  <property fmtid="{D5CDD505-2E9C-101B-9397-08002B2CF9AE}" pid="16" name="IWClientName">
    <vt:lpwstr>0</vt:lpwstr>
  </property>
  <property fmtid="{D5CDD505-2E9C-101B-9397-08002B2CF9AE}" pid="17" name="IWMatterNum">
    <vt:lpwstr>0</vt:lpwstr>
  </property>
  <property fmtid="{D5CDD505-2E9C-101B-9397-08002B2CF9AE}" pid="18" name="IWMatterDesc">
    <vt:lpwstr>0</vt:lpwstr>
  </property>
  <property fmtid="{D5CDD505-2E9C-101B-9397-08002B2CF9AE}" pid="19" name="IWOurRef">
    <vt:lpwstr>PE</vt:lpwstr>
  </property>
  <property fmtid="{D5CDD505-2E9C-101B-9397-08002B2CF9AE}" pid="20" name="IWClientMatter">
    <vt:lpwstr>/</vt:lpwstr>
  </property>
  <property fmtid="{D5CDD505-2E9C-101B-9397-08002B2CF9AE}" pid="21" name="_dlc_LastRun">
    <vt:lpwstr>09/17/2022 23:07:25</vt:lpwstr>
  </property>
  <property fmtid="{D5CDD505-2E9C-101B-9397-08002B2CF9AE}" pid="22" name="_dlc_ItemStageId">
    <vt:lpwstr>1</vt:lpwstr>
  </property>
</Properties>
</file>